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BD" w:rsidRPr="001C33BD" w:rsidRDefault="001C33BD" w:rsidP="001C33BD">
      <w:pPr>
        <w:rPr>
          <w:rFonts w:cs="Arial"/>
        </w:rPr>
      </w:pPr>
      <w:r w:rsidRPr="001C33BD">
        <w:rPr>
          <w:rFonts w:cs="Arial"/>
        </w:rPr>
        <w:t>Lakimies Kati Mattinen</w:t>
      </w:r>
      <w:r w:rsidRPr="001C33BD">
        <w:rPr>
          <w:rFonts w:cs="Arial"/>
        </w:rPr>
        <w:br/>
        <w:t>Helsingin seudun kauppakamari</w:t>
      </w:r>
    </w:p>
    <w:p w:rsidR="001C33BD" w:rsidRPr="001C33BD" w:rsidRDefault="001C33BD" w:rsidP="001C33BD">
      <w:pPr>
        <w:rPr>
          <w:rFonts w:cs="Arial"/>
          <w:b/>
        </w:rPr>
      </w:pPr>
      <w:bookmarkStart w:id="0" w:name="_GoBack"/>
      <w:bookmarkEnd w:id="0"/>
      <w:r w:rsidRPr="001C33BD">
        <w:rPr>
          <w:rFonts w:cs="Arial"/>
          <w:b/>
        </w:rPr>
        <w:t>Työsuojelun yhteistoiminnasta</w:t>
      </w:r>
    </w:p>
    <w:p w:rsidR="001C33BD" w:rsidRPr="001C33BD" w:rsidRDefault="001C33BD" w:rsidP="001C33BD">
      <w:pPr>
        <w:rPr>
          <w:rFonts w:cs="Arial"/>
        </w:rPr>
      </w:pPr>
      <w:r w:rsidRPr="001C33BD">
        <w:rPr>
          <w:rFonts w:cs="Arial"/>
        </w:rPr>
        <w:t>Työsuojelun yhteistoiminnasta säädetään työsuojelun valvonnasta ja työpaikan työsuojeluyhteistoiminnasta annetun lain viidennessä luvussa. Yhteistoiminnan tavoitteena on edistää työnantajan ja työntekijöiden välistä vuorovaikutusta ja mahdollistaa työntekijöiden osallistuminen ja vaikuttaminen työpaikan turvallisuutta ja terveellisyyttä koskevien asioiden käsittelyyn.</w:t>
      </w:r>
    </w:p>
    <w:p w:rsidR="001C33BD" w:rsidRPr="001C33BD" w:rsidRDefault="001C33BD" w:rsidP="001C33BD">
      <w:pPr>
        <w:rPr>
          <w:rFonts w:cs="Arial"/>
        </w:rPr>
      </w:pPr>
      <w:r w:rsidRPr="001C33BD">
        <w:rPr>
          <w:rFonts w:cs="Arial"/>
        </w:rPr>
        <w:t xml:space="preserve">Yhteistoiminta järjestetään työpaikalla, joka lain mukaan on alueellisesti ja toiminnallisesti yhteistoiminnan kannalta tarkoituksenmukainen yhden tai useamman toimipisteen tai -yksikön muodostama kokonaisuus. Työsuojelun yhteistoiminnasta huolehtivat työsuojelupäällikkö, työsuojeluvaltuutettu ja työsuojelutoimikunta, joilla ei kuitenkaan ole tässä asemassa oikeudellista työsuojeluvastuuta.  </w:t>
      </w:r>
    </w:p>
    <w:p w:rsidR="001C33BD" w:rsidRPr="001C33BD" w:rsidRDefault="001C33BD" w:rsidP="001C33BD">
      <w:pPr>
        <w:rPr>
          <w:rFonts w:cs="Arial"/>
          <w:b/>
        </w:rPr>
      </w:pPr>
      <w:r w:rsidRPr="001C33BD">
        <w:rPr>
          <w:rFonts w:cs="Arial"/>
          <w:b/>
        </w:rPr>
        <w:t>Työsuojelun yhteistoiminnassa käsitellään</w:t>
      </w:r>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työntekijän turvallisuuteen ja terveyteen välittömästi vaikuttavat asiat ja niitä koskevat muutokset</w:t>
      </w:r>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periaatteet ja tapa, joiden mukaan työpaikan vaarat ja haitat selvitetään sekä edellä tarkoitetussa selvityksessä ja työterveyshuollon tekemässä työpaikkaselvityksessä esille tulleet työntekijöiden turvallisuuteen ja terveyteen yleisesti vaikuttavat seikat</w:t>
      </w:r>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 xml:space="preserve">työkykyä ylläpitävään toimintaan liittyvät, työssä jatkamista tukevat ja muut työntekijöiden turvallisuuteen ja terveyteen vaikuttavat kehittämistavoitteet ja </w:t>
      </w:r>
      <w:proofErr w:type="gramStart"/>
      <w:r w:rsidRPr="001C33BD">
        <w:rPr>
          <w:rFonts w:asciiTheme="minorHAnsi" w:hAnsiTheme="minorHAnsi" w:cs="Arial"/>
          <w:sz w:val="22"/>
          <w:szCs w:val="22"/>
        </w:rPr>
        <w:t>–ohjelmat</w:t>
      </w:r>
      <w:proofErr w:type="gramEnd"/>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työntekijöiden turvallisuuteen, terveyteen ja työkykyyn vaikuttavat työn järjestelyyn ja mitoitukseen sekä niiden olennaisiin muutoksiin liittyvät asiat</w:t>
      </w:r>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työsuojeluviranomaisen valvontaan kuuluvassa laissa tarkoitetun työtekijöille annettavan opetuksen, ohjauksen ja perehdyttämisen tarve ja järjestelyt</w:t>
      </w:r>
    </w:p>
    <w:p w:rsidR="001C33BD" w:rsidRPr="001C33BD" w:rsidRDefault="001C33BD" w:rsidP="001C33BD">
      <w:pPr>
        <w:pStyle w:val="py"/>
        <w:numPr>
          <w:ilvl w:val="0"/>
          <w:numId w:val="1"/>
        </w:numPr>
        <w:rPr>
          <w:rFonts w:asciiTheme="minorHAnsi" w:hAnsiTheme="minorHAnsi" w:cs="Arial"/>
          <w:sz w:val="22"/>
          <w:szCs w:val="22"/>
        </w:rPr>
      </w:pPr>
      <w:r w:rsidRPr="001C33BD">
        <w:rPr>
          <w:rFonts w:asciiTheme="minorHAnsi" w:hAnsiTheme="minorHAnsi" w:cs="Arial"/>
          <w:sz w:val="22"/>
          <w:szCs w:val="22"/>
        </w:rPr>
        <w:t>työhön, työympäristöön ja työyhteisön tilaan liittyvät, työn turvallisuutta ja terveellisyyttä kuvaavat tilasto- ja muut seurantatiedot sekä</w:t>
      </w:r>
    </w:p>
    <w:p w:rsidR="001C33BD" w:rsidRPr="001C33BD" w:rsidRDefault="001C33BD" w:rsidP="001C33BD">
      <w:pPr>
        <w:pStyle w:val="py"/>
        <w:numPr>
          <w:ilvl w:val="0"/>
          <w:numId w:val="1"/>
        </w:numPr>
        <w:rPr>
          <w:rFonts w:asciiTheme="minorHAnsi" w:hAnsiTheme="minorHAnsi" w:cs="Arial"/>
          <w:sz w:val="22"/>
          <w:szCs w:val="22"/>
        </w:rPr>
      </w:pPr>
      <w:proofErr w:type="gramStart"/>
      <w:r w:rsidRPr="001C33BD">
        <w:rPr>
          <w:rFonts w:asciiTheme="minorHAnsi" w:hAnsiTheme="minorHAnsi" w:cs="Arial"/>
          <w:sz w:val="22"/>
          <w:szCs w:val="22"/>
        </w:rPr>
        <w:t>näiden asioiden toteutumisen ja vaikutusten seuranta.</w:t>
      </w:r>
      <w:proofErr w:type="gramEnd"/>
    </w:p>
    <w:p w:rsidR="001C33BD" w:rsidRPr="001C33BD" w:rsidRDefault="001C33BD" w:rsidP="001C33BD">
      <w:pPr>
        <w:pStyle w:val="py"/>
        <w:rPr>
          <w:rFonts w:asciiTheme="minorHAnsi" w:hAnsiTheme="minorHAnsi" w:cs="Arial"/>
          <w:sz w:val="22"/>
          <w:szCs w:val="22"/>
        </w:rPr>
      </w:pPr>
      <w:r w:rsidRPr="001C33BD">
        <w:rPr>
          <w:rFonts w:asciiTheme="minorHAnsi" w:hAnsiTheme="minorHAnsi" w:cs="Arial"/>
          <w:sz w:val="22"/>
          <w:szCs w:val="22"/>
        </w:rPr>
        <w:t xml:space="preserve">Työntekijän turvallisuuteen ja terveyteen välittömästi vaikuttavat asiat käsitellään työnantajan tai tämän edustajana toimivan esimiehen ja työntekijän kesken. Työsuojeluvaltuutetulla on oikeus osallistua asian käsittelyyn. Työpaikkaa yleisesti koskevat ja laajakantoiset asiat käsitellään työsuojelutoimikunnassa tai sen puuttuessa työnantajan ja työsuojeluvaltuutetun kesken. Jos työpaikalla ei ole työsuojelutoimikuntaa eikä työsuojeluvaltuutettua, yhteistoiminta-asiat käsitellään työntekijöiden kanssa yhdessä. </w:t>
      </w:r>
    </w:p>
    <w:p w:rsidR="001C33BD" w:rsidRPr="001C33BD" w:rsidRDefault="001C33BD" w:rsidP="001C33BD">
      <w:pPr>
        <w:rPr>
          <w:rFonts w:cs="Arial"/>
          <w:b/>
        </w:rPr>
      </w:pPr>
      <w:r w:rsidRPr="001C33BD">
        <w:rPr>
          <w:rFonts w:cs="Arial"/>
          <w:b/>
        </w:rPr>
        <w:t>Työsuojelupäällikkö edustaa työnantajaa työsuojelun yhteistoiminnassa</w:t>
      </w:r>
    </w:p>
    <w:p w:rsidR="001C33BD" w:rsidRPr="001C33BD" w:rsidRDefault="001C33BD" w:rsidP="001C33BD">
      <w:pPr>
        <w:rPr>
          <w:rFonts w:cs="Arial"/>
        </w:rPr>
      </w:pPr>
      <w:r w:rsidRPr="001C33BD">
        <w:rPr>
          <w:rFonts w:cs="Arial"/>
        </w:rPr>
        <w:t xml:space="preserve">Työsuojelupäällikön tulee olla työpaikan ja työn luonne sekä työpaikan laajuus huomioon ottaen riittävän pätevä ja perehtynyt työpaikan olosuhteisiin ja työsuojelusäännöksiin, ja hänellä tulee olla asianmukaiset edellytykset työsuojeluasioiden käsittelyyn ja yhteistoiminnan järjestämiseen. Työsuojelupäällikkö avustaa työnantajaa ja esimiehiä työsuojeluasiantuntemuksen hankinnassa ja yhteistyössä työsuojeluviranomaisten kanssa, toimii yhteistoiminnan järjestämiseksi ja ylläpitämiseksi ja kehittää työsuojelun yhteistoimintaa. Hän myös edustaa työnantajaa työsuojelutarkastuksissa ja osallistuu työsuojelutoimikunnan kokouksiin, vaikka ei olisikaan sen jäsen. </w:t>
      </w:r>
    </w:p>
    <w:p w:rsidR="001C33BD" w:rsidRPr="001C33BD" w:rsidRDefault="001C33BD" w:rsidP="001C33BD">
      <w:pPr>
        <w:rPr>
          <w:rFonts w:cs="Arial"/>
        </w:rPr>
      </w:pPr>
      <w:r w:rsidRPr="001C33BD">
        <w:rPr>
          <w:rFonts w:cs="Arial"/>
        </w:rPr>
        <w:t xml:space="preserve">Työntekijöiden on valittava työsuojeluvaltuutettu ja kaksi varavaltuutettua, jos työpaikalla työskentelee säännöllisesti vähintään kymmenen työntekijää. Myös pienemmällä työpaikalla työntekijöillä on oikeus valintaan. Toimihenkilöillä on oikeus valita oma työsuojeluvaltuutettu ja varavaltuutetut. Työnantajan on </w:t>
      </w:r>
      <w:r w:rsidRPr="001C33BD">
        <w:rPr>
          <w:rFonts w:cs="Arial"/>
        </w:rPr>
        <w:lastRenderedPageBreak/>
        <w:t xml:space="preserve">tarvittaessa annettava työpaikalla tietoa työntekijöiden oikeudesta työsuojeluvaltuutetun valintaan. Työsuojeluvaltuutettu ja varavaltuutetut valitaan vaalilla toimikaudeksi, jonka pituus on kaksi kalenterivuotta tai </w:t>
      </w:r>
      <w:proofErr w:type="spellStart"/>
      <w:r w:rsidRPr="001C33BD">
        <w:rPr>
          <w:rFonts w:cs="Arial"/>
        </w:rPr>
        <w:t>tietyin</w:t>
      </w:r>
      <w:proofErr w:type="spellEnd"/>
      <w:r w:rsidRPr="001C33BD">
        <w:rPr>
          <w:rFonts w:cs="Arial"/>
        </w:rPr>
        <w:t xml:space="preserve"> edellytyksin sovittaessa enintään neljä kalenterivuotta. </w:t>
      </w:r>
    </w:p>
    <w:p w:rsidR="001C33BD" w:rsidRPr="001C33BD" w:rsidRDefault="001C33BD" w:rsidP="001C33BD">
      <w:pPr>
        <w:rPr>
          <w:rFonts w:cs="Arial"/>
        </w:rPr>
      </w:pPr>
    </w:p>
    <w:p w:rsidR="001C33BD" w:rsidRPr="001C33BD" w:rsidRDefault="001C33BD" w:rsidP="001C33BD">
      <w:pPr>
        <w:rPr>
          <w:rFonts w:cs="Arial"/>
        </w:rPr>
      </w:pPr>
      <w:r w:rsidRPr="001C33BD">
        <w:rPr>
          <w:rFonts w:cs="Arial"/>
          <w:b/>
        </w:rPr>
        <w:t>Työsuojeluvaltuutettu edustaa työntekijöitä työpaikan työsuojelun yhteistoiminnassa ja suhteessa työsuojeluviranomaisiin</w:t>
      </w:r>
      <w:r w:rsidRPr="001C33BD">
        <w:rPr>
          <w:rFonts w:cs="Arial"/>
        </w:rPr>
        <w:t>.</w:t>
      </w:r>
    </w:p>
    <w:p w:rsidR="001C33BD" w:rsidRPr="001C33BD" w:rsidRDefault="001C33BD" w:rsidP="001C33BD">
      <w:pPr>
        <w:rPr>
          <w:rFonts w:cs="Arial"/>
        </w:rPr>
      </w:pPr>
      <w:r w:rsidRPr="001C33BD">
        <w:rPr>
          <w:rFonts w:cs="Arial"/>
        </w:rPr>
        <w:t xml:space="preserve">Työsuojeluvaltuutetun tehtävänä on perehtyä oma-aloitteisesti työpaikan työntekijöiden turvallisuuteen ja terveyteen vaikuttaviin asioihin ja työsuojelusäännöksiin, osallistua työsuojelutarkastuksiin ja kiinnittää edustamiensa työntekijöiden huomiota työn turvallisuutta ja terveellisyyttä edistäviin seikkoihin. Hänellä on muun muassa oikeus </w:t>
      </w:r>
    </w:p>
    <w:p w:rsidR="001C33BD" w:rsidRPr="001C33BD" w:rsidRDefault="001C33BD" w:rsidP="001C33BD">
      <w:pPr>
        <w:pStyle w:val="Luettelokappale"/>
        <w:numPr>
          <w:ilvl w:val="0"/>
          <w:numId w:val="1"/>
        </w:numPr>
        <w:rPr>
          <w:rFonts w:cs="Arial"/>
        </w:rPr>
      </w:pPr>
      <w:r w:rsidRPr="001C33BD">
        <w:rPr>
          <w:rFonts w:cs="Arial"/>
        </w:rPr>
        <w:t>saada nähtäväkseen työpaikan turvallisuuteen ja terveyteen liittyviä asiakirjoja ja luetteloita,</w:t>
      </w:r>
    </w:p>
    <w:p w:rsidR="001C33BD" w:rsidRPr="001C33BD" w:rsidRDefault="001C33BD" w:rsidP="001C33BD">
      <w:pPr>
        <w:pStyle w:val="Luettelokappale"/>
        <w:numPr>
          <w:ilvl w:val="0"/>
          <w:numId w:val="1"/>
        </w:numPr>
        <w:rPr>
          <w:rFonts w:cs="Arial"/>
        </w:rPr>
      </w:pPr>
      <w:r w:rsidRPr="001C33BD">
        <w:rPr>
          <w:rFonts w:cs="Arial"/>
        </w:rPr>
        <w:t xml:space="preserve">keskeyttää työ, josta aiheutuu välitöntä ja vakavaa vaaraa työntekijän hengelle tai terveydelle, </w:t>
      </w:r>
    </w:p>
    <w:p w:rsidR="001C33BD" w:rsidRPr="001C33BD" w:rsidRDefault="001C33BD" w:rsidP="001C33BD">
      <w:pPr>
        <w:pStyle w:val="Luettelokappale"/>
        <w:numPr>
          <w:ilvl w:val="0"/>
          <w:numId w:val="1"/>
        </w:numPr>
        <w:rPr>
          <w:rFonts w:cs="Arial"/>
        </w:rPr>
      </w:pPr>
      <w:r w:rsidRPr="001C33BD">
        <w:rPr>
          <w:rFonts w:cs="Arial"/>
        </w:rPr>
        <w:t xml:space="preserve">saada koulutusta yhteistoimintatehtäviensä hoitamiseksi, </w:t>
      </w:r>
    </w:p>
    <w:p w:rsidR="001C33BD" w:rsidRPr="001C33BD" w:rsidRDefault="001C33BD" w:rsidP="001C33BD">
      <w:pPr>
        <w:pStyle w:val="Luettelokappale"/>
        <w:numPr>
          <w:ilvl w:val="0"/>
          <w:numId w:val="1"/>
        </w:numPr>
        <w:rPr>
          <w:rFonts w:cs="Arial"/>
        </w:rPr>
      </w:pPr>
      <w:r w:rsidRPr="001C33BD">
        <w:rPr>
          <w:rFonts w:cs="Arial"/>
        </w:rPr>
        <w:t xml:space="preserve">saada kohtuullinen vapautus työstään työsuojeluvaltuutetun tehtävien hoitamista varten </w:t>
      </w:r>
    </w:p>
    <w:p w:rsidR="001C33BD" w:rsidRPr="001C33BD" w:rsidRDefault="001C33BD" w:rsidP="001C33BD">
      <w:pPr>
        <w:pStyle w:val="Luettelokappale"/>
        <w:numPr>
          <w:ilvl w:val="0"/>
          <w:numId w:val="1"/>
        </w:numPr>
        <w:rPr>
          <w:rFonts w:cs="Arial"/>
        </w:rPr>
      </w:pPr>
      <w:r w:rsidRPr="001C33BD">
        <w:rPr>
          <w:rFonts w:cs="Arial"/>
        </w:rPr>
        <w:t>saada korvausta tehtävien hoitamisesta aiheutuvasta ansion menetyksestä sekä</w:t>
      </w:r>
    </w:p>
    <w:p w:rsidR="001C33BD" w:rsidRPr="001C33BD" w:rsidRDefault="001C33BD" w:rsidP="001C33BD">
      <w:pPr>
        <w:pStyle w:val="Luettelokappale"/>
        <w:numPr>
          <w:ilvl w:val="0"/>
          <w:numId w:val="1"/>
        </w:numPr>
        <w:rPr>
          <w:rFonts w:cs="Arial"/>
        </w:rPr>
      </w:pPr>
      <w:proofErr w:type="gramStart"/>
      <w:r w:rsidRPr="001C33BD">
        <w:rPr>
          <w:rFonts w:cs="Arial"/>
        </w:rPr>
        <w:t>erityiseen irtisanomissuojaan.</w:t>
      </w:r>
      <w:proofErr w:type="gramEnd"/>
    </w:p>
    <w:p w:rsidR="001C33BD" w:rsidRPr="001C33BD" w:rsidRDefault="001C33BD" w:rsidP="001C33BD">
      <w:pPr>
        <w:rPr>
          <w:rFonts w:cs="Arial"/>
        </w:rPr>
      </w:pPr>
      <w:r w:rsidRPr="001C33BD">
        <w:rPr>
          <w:rFonts w:cs="Arial"/>
        </w:rPr>
        <w:t xml:space="preserve">Työpaikalle on perustettava kahdeksi kalenterivuodeksi kerrallaan työsuojelutoimikunta, jos siellä työskentelee säännöllisesti vähintään 20 työntekijää. Työsuojelutoimikunnassa ovat edustettuina työnantaja ja työntekijät siten, että jäsenmäärä on neljä, kahdeksan tai kaksitoista. Jäsenistä neljännes edustaa työnantajaa ja loput henkilöstöä. Kokoonpanosta voidaan myös sopia toisin. Työnantaja nimeää edustajansa työsuojelutoimikuntaan, työsuojeluvaltuutetut ovat työsuojelutoimikunnan jäseniä ja muut jäsenet valitaan vaalilla. Työpaikalla voidaan myös </w:t>
      </w:r>
      <w:proofErr w:type="spellStart"/>
      <w:r w:rsidRPr="001C33BD">
        <w:rPr>
          <w:rFonts w:cs="Arial"/>
        </w:rPr>
        <w:t>tietyin</w:t>
      </w:r>
      <w:proofErr w:type="spellEnd"/>
      <w:r w:rsidRPr="001C33BD">
        <w:rPr>
          <w:rFonts w:cs="Arial"/>
        </w:rPr>
        <w:t xml:space="preserve"> edellytyksin sopia yhteistoiminnasta toisin. </w:t>
      </w:r>
    </w:p>
    <w:p w:rsidR="001C33BD" w:rsidRPr="001C33BD" w:rsidRDefault="001C33BD" w:rsidP="001C33BD">
      <w:pPr>
        <w:rPr>
          <w:rFonts w:cs="Arial"/>
        </w:rPr>
      </w:pPr>
      <w:r w:rsidRPr="001C33BD">
        <w:rPr>
          <w:rFonts w:cs="Arial"/>
        </w:rPr>
        <w:t xml:space="preserve">Työehtosopimuksissa voi olla poikkeavia tai täydentäviä määräyksiä työsuojelun yhteistoimintaan liittyen. </w:t>
      </w:r>
    </w:p>
    <w:p w:rsidR="00F01F7E" w:rsidRPr="001C33BD" w:rsidRDefault="00F01F7E"/>
    <w:sectPr w:rsidR="00F01F7E" w:rsidRPr="001C33B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71C53"/>
    <w:multiLevelType w:val="hybridMultilevel"/>
    <w:tmpl w:val="82380970"/>
    <w:lvl w:ilvl="0" w:tplc="A4A03B70">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BD"/>
    <w:rsid w:val="001C33BD"/>
    <w:rsid w:val="00F01F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A2C6-76D4-475F-B140-7E5A43EB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C33B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1C33B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1C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4804</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2014-04-28T10:35:00Z</dcterms:created>
  <dcterms:modified xsi:type="dcterms:W3CDTF">2014-04-28T10:36:00Z</dcterms:modified>
</cp:coreProperties>
</file>