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A1" w:rsidRPr="00ED1BA1" w:rsidRDefault="00ED1BA1" w:rsidP="00ED1BA1">
      <w:pPr>
        <w:pStyle w:val="Oletusteksti"/>
        <w:jc w:val="both"/>
        <w:rPr>
          <w:rStyle w:val="InitialStyle"/>
          <w:rFonts w:asciiTheme="minorHAnsi" w:hAnsiTheme="minorHAnsi" w:cs="Arial"/>
          <w:b/>
          <w:bCs/>
          <w:sz w:val="22"/>
          <w:szCs w:val="22"/>
          <w:lang w:val="fr-CA"/>
        </w:rPr>
      </w:pPr>
      <w:r w:rsidRPr="00ED1BA1">
        <w:rPr>
          <w:rStyle w:val="InitialStyle"/>
          <w:rFonts w:asciiTheme="minorHAnsi" w:hAnsiTheme="minorHAnsi" w:cs="Arial"/>
          <w:b/>
          <w:bCs/>
          <w:sz w:val="22"/>
          <w:szCs w:val="22"/>
          <w:lang w:val="fr-CA"/>
        </w:rPr>
        <w:t>JÄSENKIRJE 4/2014</w:t>
      </w:r>
    </w:p>
    <w:p w:rsidR="00ED1BA1" w:rsidRPr="00ED1BA1" w:rsidRDefault="00ED1BA1" w:rsidP="00ED1BA1">
      <w:pPr>
        <w:pStyle w:val="Oletusteksti"/>
        <w:jc w:val="both"/>
        <w:rPr>
          <w:rStyle w:val="InitialStyle"/>
          <w:rFonts w:asciiTheme="minorHAnsi" w:hAnsiTheme="minorHAnsi" w:cs="Arial"/>
          <w:b/>
          <w:bCs/>
          <w:sz w:val="22"/>
          <w:szCs w:val="22"/>
          <w:lang w:val="fr-CA"/>
        </w:rPr>
      </w:pPr>
    </w:p>
    <w:p w:rsidR="00ED1BA1" w:rsidRPr="00ED1BA1" w:rsidRDefault="00ED1BA1" w:rsidP="00ED1BA1">
      <w:pPr>
        <w:pStyle w:val="Oletusteksti"/>
        <w:jc w:val="both"/>
        <w:rPr>
          <w:rStyle w:val="InitialStyle"/>
          <w:rFonts w:asciiTheme="minorHAnsi" w:hAnsiTheme="minorHAnsi" w:cs="Arial"/>
          <w:bCs/>
          <w:sz w:val="22"/>
          <w:szCs w:val="22"/>
          <w:lang w:val="fr-CA"/>
        </w:rPr>
      </w:pPr>
      <w:r w:rsidRPr="00ED1BA1">
        <w:rPr>
          <w:rStyle w:val="InitialStyle"/>
          <w:rFonts w:asciiTheme="minorHAnsi" w:hAnsiTheme="minorHAnsi" w:cs="Arial"/>
          <w:bCs/>
          <w:sz w:val="22"/>
          <w:szCs w:val="22"/>
          <w:lang w:val="fr-CA"/>
        </w:rPr>
        <w:t>Veroasiantuntija Pekka Virtamo</w:t>
      </w:r>
    </w:p>
    <w:p w:rsidR="00ED1BA1" w:rsidRPr="00ED1BA1" w:rsidRDefault="00ED1BA1" w:rsidP="00ED1BA1">
      <w:pPr>
        <w:pStyle w:val="Oletusteksti"/>
        <w:jc w:val="both"/>
        <w:rPr>
          <w:rStyle w:val="InitialStyle"/>
          <w:rFonts w:asciiTheme="minorHAnsi" w:hAnsiTheme="minorHAnsi" w:cs="Arial"/>
          <w:bCs/>
          <w:sz w:val="22"/>
          <w:szCs w:val="22"/>
          <w:lang w:val="fr-CA"/>
        </w:rPr>
      </w:pPr>
      <w:r w:rsidRPr="00ED1BA1">
        <w:rPr>
          <w:rStyle w:val="InitialStyle"/>
          <w:rFonts w:asciiTheme="minorHAnsi" w:hAnsiTheme="minorHAnsi" w:cs="Arial"/>
          <w:bCs/>
          <w:sz w:val="22"/>
          <w:szCs w:val="22"/>
          <w:lang w:val="fr-CA"/>
        </w:rPr>
        <w:t>Helsingin seudun kauppakamari</w:t>
      </w:r>
    </w:p>
    <w:p w:rsidR="00ED1BA1" w:rsidRPr="00ED1BA1" w:rsidRDefault="00ED1BA1" w:rsidP="00ED1BA1">
      <w:pPr>
        <w:pStyle w:val="Oletusteksti"/>
        <w:jc w:val="both"/>
        <w:rPr>
          <w:rStyle w:val="InitialStyle"/>
          <w:rFonts w:asciiTheme="minorHAnsi" w:hAnsiTheme="minorHAnsi" w:cs="Arial"/>
          <w:b/>
          <w:bCs/>
          <w:sz w:val="22"/>
          <w:szCs w:val="22"/>
          <w:lang w:val="fr-CA"/>
        </w:rPr>
      </w:pPr>
    </w:p>
    <w:p w:rsidR="00ED1BA1" w:rsidRPr="00ED1BA1" w:rsidRDefault="00ED1BA1" w:rsidP="00ED1BA1">
      <w:pPr>
        <w:pStyle w:val="Oletusteksti"/>
        <w:jc w:val="both"/>
        <w:rPr>
          <w:rStyle w:val="InitialStyle"/>
          <w:rFonts w:asciiTheme="minorHAnsi" w:hAnsiTheme="minorHAnsi" w:cs="Arial"/>
          <w:sz w:val="22"/>
          <w:szCs w:val="22"/>
          <w:lang w:val="fr-CA"/>
        </w:rPr>
      </w:pPr>
      <w:r w:rsidRPr="00ED1BA1">
        <w:rPr>
          <w:rStyle w:val="InitialStyle"/>
          <w:rFonts w:asciiTheme="minorHAnsi" w:hAnsiTheme="minorHAnsi" w:cs="Arial"/>
          <w:b/>
          <w:bCs/>
          <w:sz w:val="22"/>
          <w:szCs w:val="22"/>
          <w:lang w:val="fr-CA"/>
        </w:rPr>
        <w:t>Työnantajasuorituksia koskevat ennakkoratkaisut</w:t>
      </w:r>
    </w:p>
    <w:p w:rsidR="00ED1BA1" w:rsidRPr="00ED1BA1" w:rsidRDefault="00ED1BA1" w:rsidP="00ED1BA1">
      <w:pPr>
        <w:pStyle w:val="Oletusteksti"/>
        <w:jc w:val="both"/>
        <w:rPr>
          <w:rStyle w:val="InitialStyle"/>
          <w:rFonts w:asciiTheme="minorHAnsi" w:hAnsiTheme="minorHAnsi" w:cs="Arial"/>
          <w:sz w:val="22"/>
          <w:szCs w:val="22"/>
          <w:lang w:val="fr-CA"/>
        </w:rPr>
      </w:pPr>
    </w:p>
    <w:p w:rsidR="00ED1BA1" w:rsidRPr="00ED1BA1" w:rsidRDefault="00ED1BA1" w:rsidP="00ED1BA1">
      <w:pPr>
        <w:pStyle w:val="Oletusteksti"/>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Palkan tai muun suorituksen maksaja tai saaja voi ennakkoperintälain (EPL) 45 §:n mukaan hakea verohallinnolta sitovan ennakkoratkaisun ennakonpidätyksen toimittamisvelvollisuudesta. Työnantajan sosiaaliturvamaksusta annetun lain 8 §:n mukaan vastaavaa ratkaisua voi hakea myös sotumaksun suorittamisvelvollisuudesta.</w:t>
      </w:r>
    </w:p>
    <w:p w:rsidR="00ED1BA1" w:rsidRPr="00ED1BA1" w:rsidRDefault="00ED1BA1" w:rsidP="00ED1BA1">
      <w:pPr>
        <w:pStyle w:val="Oletusteksti"/>
        <w:rPr>
          <w:rStyle w:val="InitialStyle"/>
          <w:rFonts w:asciiTheme="minorHAnsi" w:hAnsiTheme="minorHAnsi" w:cs="Arial"/>
          <w:sz w:val="22"/>
          <w:szCs w:val="22"/>
          <w:lang w:val="fr-CA"/>
        </w:rPr>
      </w:pPr>
    </w:p>
    <w:p w:rsidR="00ED1BA1" w:rsidRPr="00ED1BA1" w:rsidRDefault="00ED1BA1" w:rsidP="00ED1BA1">
      <w:pPr>
        <w:pStyle w:val="Oletusteksti"/>
        <w:rPr>
          <w:rStyle w:val="InitialStyle"/>
          <w:rFonts w:asciiTheme="minorHAnsi" w:hAnsiTheme="minorHAnsi" w:cs="Arial"/>
          <w:sz w:val="22"/>
          <w:szCs w:val="22"/>
          <w:lang w:val="fr-CA"/>
        </w:rPr>
      </w:pPr>
      <w:r w:rsidRPr="00ED1BA1">
        <w:rPr>
          <w:rStyle w:val="InitialStyle"/>
          <w:rFonts w:asciiTheme="minorHAnsi" w:hAnsiTheme="minorHAnsi" w:cs="Arial"/>
          <w:b/>
          <w:bCs/>
          <w:sz w:val="22"/>
          <w:szCs w:val="22"/>
          <w:lang w:val="fr-CA"/>
        </w:rPr>
        <w:t>Ennakkoratkaisun hakeminen</w:t>
      </w:r>
    </w:p>
    <w:p w:rsidR="00ED1BA1" w:rsidRPr="00ED1BA1" w:rsidRDefault="00ED1BA1" w:rsidP="00ED1BA1">
      <w:pPr>
        <w:pStyle w:val="Oletusteksti"/>
        <w:rPr>
          <w:rStyle w:val="InitialStyle"/>
          <w:rFonts w:asciiTheme="minorHAnsi" w:hAnsiTheme="minorHAnsi" w:cs="Arial"/>
          <w:sz w:val="22"/>
          <w:szCs w:val="22"/>
          <w:lang w:val="fr-CA"/>
        </w:rPr>
      </w:pPr>
    </w:p>
    <w:p w:rsidR="00ED1BA1" w:rsidRPr="00ED1BA1" w:rsidRDefault="00ED1BA1" w:rsidP="00ED1BA1">
      <w:pPr>
        <w:pStyle w:val="Oletusteksti"/>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Hakijana voi olla vain suorituksen maksaja tai saaja taikka molemmat. Sen sijaan esimerkiksi etujärjestö ei voi saada ennakkoratkaisua jäsentensä puolesta.</w:t>
      </w:r>
    </w:p>
    <w:p w:rsidR="00ED1BA1" w:rsidRPr="00ED1BA1" w:rsidRDefault="00ED1BA1" w:rsidP="00ED1BA1">
      <w:pPr>
        <w:pStyle w:val="Oletusteksti"/>
        <w:rPr>
          <w:rStyle w:val="InitialStyle"/>
          <w:rFonts w:asciiTheme="minorHAnsi" w:hAnsiTheme="minorHAnsi" w:cs="Arial"/>
          <w:sz w:val="22"/>
          <w:szCs w:val="22"/>
          <w:lang w:val="fr-CA"/>
        </w:rPr>
      </w:pPr>
    </w:p>
    <w:p w:rsidR="00ED1BA1" w:rsidRPr="00ED1BA1" w:rsidRDefault="00ED1BA1" w:rsidP="00ED1BA1">
      <w:pPr>
        <w:pStyle w:val="Oletusteksti"/>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Ennakkoratkaisuhakemuksen on oltava kirjallinen ja riittävän yksilöity. Erityisiä muotovaatimuksia tai valmista hakulomaketta ei ole. Hakemuksessa tulee olla:</w:t>
      </w:r>
    </w:p>
    <w:p w:rsidR="00ED1BA1" w:rsidRPr="00ED1BA1" w:rsidRDefault="00ED1BA1" w:rsidP="00ED1BA1">
      <w:pPr>
        <w:pStyle w:val="Oletusteksti"/>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576" w:hanging="576"/>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w:t>
      </w:r>
      <w:r w:rsidRPr="00ED1BA1">
        <w:rPr>
          <w:rStyle w:val="InitialStyle"/>
          <w:rFonts w:asciiTheme="minorHAnsi" w:hAnsiTheme="minorHAnsi" w:cs="Arial"/>
          <w:sz w:val="22"/>
          <w:szCs w:val="22"/>
          <w:lang w:val="fr-CA"/>
        </w:rPr>
        <w:tab/>
        <w:t>hakijan nimi ja osoite</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576" w:hanging="576"/>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w:t>
      </w:r>
      <w:r w:rsidRPr="00ED1BA1">
        <w:rPr>
          <w:rStyle w:val="InitialStyle"/>
          <w:rFonts w:asciiTheme="minorHAnsi" w:hAnsiTheme="minorHAnsi" w:cs="Arial"/>
          <w:sz w:val="22"/>
          <w:szCs w:val="22"/>
          <w:lang w:val="fr-CA"/>
        </w:rPr>
        <w:tab/>
        <w:t>suorituksen maksaja ja saaja sekä näiden Y-tunnus/henkilötunnus ja kotikunta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576" w:hanging="576"/>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w:t>
      </w:r>
      <w:r w:rsidRPr="00ED1BA1">
        <w:rPr>
          <w:rStyle w:val="InitialStyle"/>
          <w:rFonts w:asciiTheme="minorHAnsi" w:hAnsiTheme="minorHAnsi" w:cs="Arial"/>
          <w:sz w:val="22"/>
          <w:szCs w:val="22"/>
          <w:lang w:val="fr-CA"/>
        </w:rPr>
        <w:tab/>
        <w:t>yksilöitynä kysymys, johon ratkaisua haetaan</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ind w:left="576" w:hanging="576"/>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w:t>
      </w:r>
      <w:r w:rsidRPr="00ED1BA1">
        <w:rPr>
          <w:rStyle w:val="InitialStyle"/>
          <w:rFonts w:asciiTheme="minorHAnsi" w:hAnsiTheme="minorHAnsi" w:cs="Arial"/>
          <w:sz w:val="22"/>
          <w:szCs w:val="22"/>
          <w:lang w:val="fr-CA"/>
        </w:rPr>
        <w:tab/>
        <w:t>asian ratkaisemiseksi tarvittavat asiakirjat ja muut taustatiedot.</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b/>
          <w:bCs/>
          <w:sz w:val="22"/>
          <w:szCs w:val="22"/>
          <w:lang w:val="fr-CA"/>
        </w:rPr>
        <w:t>Mistä asioista ratkaisua voi hakea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Lain sanonnan mukaan verohallinto ratkaisee asian, "jos syntyy epäselvyyttä siitä, onko ennakonpidätys toimitettava tai mitä ennakonpidätystä toimitettaessa muutoin on noudatettava" (EPL 45 §).</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Sotumaksulain 8 §:ssä olevan viittauksen perusteella edellä sanottu koskee myös työnantajan sosiaaliturvamaksua ja sitä koskevan ennakkoratkaisun periaatteet ovat yhtenevät EPL 45 §:n mukaisen ennakkoratkaisun kanssa. Kuitenkin pelkästään sotumaksun suuruutta koskevan hakemuksen voi tehdä vain työnantaja.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Ennakkoratkaisuhakemuksissa epäselvyys koskee usein erilaisten kulukorvausten tai työnantajan työntekijälle kustantamien etuuksien palkanluonteisuutta tai verohallinnon luontoisetupäätöksessä mainitsemattomien etujen raha-arvoa taikka palkan ja työkorvauksen rajanvetoa. Myös ennakonpidätyksen toimittamistapaa tai laskemista koskevaan ongelmaan voi saada ennakkoratkaisun.</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Ratkaisua ei anneta esimerkiksi toimitetun ennakonpidätyksen maksamiseen tai ennakonkantoon liittyviin taikka työnantajan palkanmaksumenettelyjä koskeviin kysymyksiin.</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Ratkaisun saamiselle on eräitä yleisiä edellytyksiä. Kyseessä täytyy olla sellainen epäselvä asia, joka ei ole lain tai muun säädöksen perusteella selvästi ratkaistavissa. Epäselvyyden tulee koskea toteutumassa olevaa konkreettista yksittäistapausta eikä myöhemmin mahdollisesti toteutettavia suunnitelmia. Ratkaisua ei anneta yrityksen yleisistä toimintaohjeista (esim. matkustussääntö) tai vaihtoehtoisten menettelytapojen keskinäisestä paremmuudesta.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Ennakkoratkaisulla ei myöskään jälkikäteen vahvisteta jonkin menettelyn oikeellisuutta, joten ratkaisua ei anneta, jos hakemuksessa tarkoitettu suoritus on jo maksettu tai ennakonpidätys toimitettu.</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b/>
          <w:bCs/>
          <w:sz w:val="22"/>
          <w:szCs w:val="22"/>
          <w:lang w:val="fr-CA"/>
        </w:rPr>
        <w:lastRenderedPageBreak/>
        <w:t>Ennakkoratkaisun vaikutukset ja voimassaoloaika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Jos ennakkoratkaisun perustana olleet olosuhteet eivät ole ratkaisun antamisen jälkeen muuttuneet, on maksajan hakemuksesta annettua ratkaisua noudatettava siinä ennakkoperinnässä, jota varten se on annettu. Sama koskee suorituksen saajan hakemuksesta annettua ratkaisua, jos hän vaatii maksajaa sitä noudattamaan.</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Mikäli palkan tai muun suorituksen maksaja toimii ratkaisun mukaisesti, häneen ei voida kohdistaa ennakkoperintälain mukaisia jälkikäteisiä maksuunpanotoimenpiteitä. Ennakkoratkaisu suojaa vain maksajaa eli sitoo verohallintoa muodollisesti ainoastaan ennakkoperinnässä, ei sen sijaan suorituksen saajan lopullista verotusta toimitettaessa. Käytännössä ennakkoratkaisussa omaksuttu kanta yleensä pitää myös lopullisessa verotuksessa.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 muuttuu sitomattomaksi, jos ratkaisun kannalta olennaiset olosuhteet tai siihen vaikuttanut lainsäädäntö muuttuu ratkaisun voimassaoloaikana, jos hakemuksessa on annettu vääriä tai puutteellisia tietoja taikka jos ratkaisuun mahdollisesti liitettyjä ehtoja tai ohjeita ei ole noudatettu.</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Ennakkoratkaisun voimassaoloaika alkaa päätöksen tiedoksisaantihetkestä. Ratkaisu annetaan määräajaksi, kuitenkin enintään ratkaisun antamista seuraavan kalenterivuoden loppuun. Olosuhteista riippuen aika voi olla lyhyempikin, esimerkiksi luontoisetuja koskevat ratkaisut ovat muodollisesti voimassa vain antamisvuoden loppuun saakka. Luontoiseturatkaisusta ilmeneviä tulkintaperiaatteita voi kyllä noudattaa myöhemminkin, jos olosuhteet tai lainsäädäntö ko. asian osalta eivät ole muuttuneet.</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Ennakonpidätystä ja sotumaksua koskeva ennakkoratkaisupäätös maksaa 120 euroa ja jos ennakkoratkaisu päätetään jättää antamatta tai hakemus tutkimatta, käsittelymaksu on 100 euroa (VMA 1042/2012).</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b/>
          <w:bCs/>
          <w:sz w:val="22"/>
          <w:szCs w:val="22"/>
          <w:lang w:val="fr-CA"/>
        </w:rPr>
        <w:t>Muutoksenhaku</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r w:rsidRPr="00ED1BA1">
        <w:rPr>
          <w:rStyle w:val="InitialStyle"/>
          <w:rFonts w:asciiTheme="minorHAnsi" w:hAnsiTheme="minorHAnsi" w:cs="Arial"/>
          <w:sz w:val="22"/>
          <w:szCs w:val="22"/>
          <w:lang w:val="fr-CA"/>
        </w:rPr>
        <w:t>Ennakkoratkaisuun haetaan muutosta valittamalla siihen hallinto-oikeuteen, jonka tuomiopiiriin suorituksen maksajan kotikunta kuuluu. Valitusaika on 30 päivää, ja se alkaa tiedoksisaannista ja veronsaajien oikeudenvalvontayksiköllä päätöksentekopäivästä. Päätökseen, jolla ennakkoratkaisu on päätetty jättää antamatta, ei saa hakea valittamalla muutosta.</w:t>
      </w:r>
    </w:p>
    <w:p w:rsidR="00ED1BA1" w:rsidRPr="00ED1BA1" w:rsidRDefault="00ED1BA1" w:rsidP="00ED1BA1">
      <w:pPr>
        <w:pStyle w:val="Oletusteksti"/>
        <w:tabs>
          <w:tab w:val="left" w:pos="576"/>
          <w:tab w:val="left" w:pos="1296"/>
          <w:tab w:val="left" w:pos="2016"/>
          <w:tab w:val="left" w:pos="2592"/>
          <w:tab w:val="left" w:pos="3024"/>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rPr>
          <w:rStyle w:val="InitialStyle"/>
          <w:rFonts w:asciiTheme="minorHAnsi" w:hAnsiTheme="minorHAnsi" w:cs="Arial"/>
          <w:sz w:val="22"/>
          <w:szCs w:val="22"/>
          <w:lang w:val="fr-CA"/>
        </w:rPr>
      </w:pPr>
    </w:p>
    <w:p w:rsidR="00ED1BA1" w:rsidRPr="00ED1BA1" w:rsidRDefault="00ED1BA1" w:rsidP="00ED1BA1">
      <w:pPr>
        <w:rPr>
          <w:rFonts w:cs="Arial"/>
        </w:rPr>
      </w:pPr>
      <w:r w:rsidRPr="00ED1BA1">
        <w:rPr>
          <w:rStyle w:val="InitialStyle"/>
          <w:rFonts w:cs="Arial"/>
          <w:sz w:val="22"/>
          <w:szCs w:val="22"/>
          <w:lang w:val="fr-CA"/>
        </w:rPr>
        <w:t>Valituksesta huolimatta on ennakkoratkaisua noudatettava. Jos hallinto-oikeus muuttaa ratkaisua, ei sen päätöstä sovelleta, ennen kuin suorituksen maksaja on saanut päätöksestä tiedon. Sitä vastoin hallinto-oikeuden päätöstä sovelletaan myös sellaiseen sotumaksuun, joka on suoritettu tai olisi ollut suoritettava ennen päätöksen antamista.</w:t>
      </w:r>
    </w:p>
    <w:p w:rsidR="00ED1BA1" w:rsidRPr="00ED1BA1" w:rsidRDefault="00ED1BA1" w:rsidP="00ED1BA1">
      <w:pPr>
        <w:rPr>
          <w:rFonts w:cs="Arial"/>
          <w:b/>
        </w:rPr>
      </w:pPr>
    </w:p>
    <w:p w:rsidR="00D0660C" w:rsidRDefault="00D0660C">
      <w:bookmarkStart w:id="0" w:name="_GoBack"/>
      <w:bookmarkEnd w:id="0"/>
    </w:p>
    <w:sectPr w:rsidR="00D0660C" w:rsidSect="00CD21B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A1"/>
    <w:rsid w:val="00D0660C"/>
    <w:rsid w:val="00ED1B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572D-8F3A-40DC-943E-F9F355E7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D1BA1"/>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teksti">
    <w:name w:val="Oletusteksti"/>
    <w:basedOn w:val="Normaali"/>
    <w:rsid w:val="00ED1BA1"/>
    <w:pPr>
      <w:autoSpaceDE w:val="0"/>
      <w:autoSpaceDN w:val="0"/>
      <w:adjustRightInd w:val="0"/>
      <w:spacing w:after="0" w:line="240" w:lineRule="auto"/>
    </w:pPr>
    <w:rPr>
      <w:rFonts w:ascii="Times New Roman" w:eastAsia="Times New Roman" w:hAnsi="Times New Roman" w:cs="Times New Roman"/>
      <w:sz w:val="24"/>
      <w:szCs w:val="24"/>
      <w:lang w:val="en-US" w:eastAsia="fi-FI"/>
    </w:rPr>
  </w:style>
  <w:style w:type="character" w:customStyle="1" w:styleId="InitialStyle">
    <w:name w:val="InitialStyle"/>
    <w:rsid w:val="00ED1B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4687</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2014-06-18T11:18:00Z</dcterms:created>
  <dcterms:modified xsi:type="dcterms:W3CDTF">2014-06-18T11:19:00Z</dcterms:modified>
</cp:coreProperties>
</file>