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26" w:rsidRPr="00862A26" w:rsidRDefault="00862A26" w:rsidP="00862A26">
      <w:pPr>
        <w:rPr>
          <w:rStyle w:val="apple-converted-space"/>
          <w:rFonts w:cs="Arial"/>
          <w:b/>
          <w:shd w:val="clear" w:color="auto" w:fill="FFFFFF"/>
        </w:rPr>
      </w:pPr>
      <w:r w:rsidRPr="00862A26">
        <w:rPr>
          <w:rStyle w:val="apple-converted-space"/>
          <w:rFonts w:cs="Arial"/>
          <w:b/>
          <w:shd w:val="clear" w:color="auto" w:fill="FFFFFF"/>
        </w:rPr>
        <w:t xml:space="preserve">Siirtovelat ja muut velat määrittely </w:t>
      </w:r>
    </w:p>
    <w:p w:rsidR="00862A26" w:rsidRPr="00862A26" w:rsidRDefault="00862A26" w:rsidP="00862A26">
      <w:pPr>
        <w:rPr>
          <w:rStyle w:val="apple-converted-space"/>
          <w:rFonts w:cs="Arial"/>
          <w:b/>
          <w:shd w:val="clear" w:color="auto" w:fill="FFFFFF"/>
        </w:rPr>
      </w:pPr>
      <w:r w:rsidRPr="00862A26">
        <w:rPr>
          <w:rStyle w:val="apple-converted-space"/>
          <w:rFonts w:cs="Arial"/>
          <w:shd w:val="clear" w:color="auto" w:fill="FFFFFF"/>
        </w:rPr>
        <w:t>Taseen siirtovelkoihin tai muihin velkoihin kirjaamisessa on omat ohjeensa, jotka käytännössä ovat aiheuttaneet useille taloushallinnon kanssa työskenteleville epäselvyyttä, mitä nämä erät pitävät sisällään.</w:t>
      </w:r>
    </w:p>
    <w:p w:rsidR="00862A26" w:rsidRPr="00862A26" w:rsidRDefault="00862A26" w:rsidP="00862A26">
      <w:pPr>
        <w:rPr>
          <w:rStyle w:val="apple-converted-space"/>
          <w:rFonts w:cs="Arial"/>
          <w:b/>
          <w:shd w:val="clear" w:color="auto" w:fill="FFFFFF"/>
        </w:rPr>
      </w:pPr>
      <w:r w:rsidRPr="00862A26">
        <w:rPr>
          <w:rStyle w:val="apple-converted-space"/>
          <w:rFonts w:cs="Arial"/>
          <w:b/>
          <w:shd w:val="clear" w:color="auto" w:fill="FFFFFF"/>
        </w:rPr>
        <w:t xml:space="preserve">Siirtovelat </w:t>
      </w:r>
    </w:p>
    <w:p w:rsidR="00862A26" w:rsidRPr="00862A26" w:rsidRDefault="00862A26" w:rsidP="00862A26">
      <w:pPr>
        <w:rPr>
          <w:rStyle w:val="apple-converted-space"/>
          <w:rFonts w:cs="Arial"/>
          <w:shd w:val="clear" w:color="auto" w:fill="FFFFFF"/>
        </w:rPr>
      </w:pPr>
      <w:r w:rsidRPr="00862A26">
        <w:rPr>
          <w:rStyle w:val="apple-converted-space"/>
          <w:rFonts w:cs="Arial"/>
          <w:shd w:val="clear" w:color="auto" w:fill="FFFFFF"/>
        </w:rPr>
        <w:t>Kirjanpitolain 4:6.2§ sisältää siirtovelan määritelmän seuraavasti:</w:t>
      </w:r>
    </w:p>
    <w:p w:rsidR="00862A26" w:rsidRPr="00862A26" w:rsidRDefault="00862A26" w:rsidP="00862A26">
      <w:pPr>
        <w:spacing w:before="100" w:beforeAutospacing="1" w:after="100" w:afterAutospacing="1"/>
        <w:contextualSpacing/>
        <w:rPr>
          <w:rFonts w:eastAsia="Times New Roman" w:cs="Arial"/>
          <w:lang w:eastAsia="fi-FI"/>
        </w:rPr>
      </w:pPr>
      <w:r w:rsidRPr="00862A26">
        <w:rPr>
          <w:rFonts w:eastAsia="Times New Roman" w:cs="Arial"/>
          <w:lang w:eastAsia="fi-FI"/>
        </w:rPr>
        <w:t>Siirtovelkoja ovat:</w:t>
      </w:r>
    </w:p>
    <w:p w:rsidR="00862A26" w:rsidRPr="00862A26" w:rsidRDefault="00862A26" w:rsidP="00862A26">
      <w:pPr>
        <w:pStyle w:val="Luettelokappale"/>
        <w:numPr>
          <w:ilvl w:val="0"/>
          <w:numId w:val="1"/>
        </w:numPr>
        <w:spacing w:before="100" w:beforeAutospacing="1" w:after="100" w:afterAutospacing="1"/>
        <w:rPr>
          <w:rFonts w:eastAsia="Times New Roman" w:cs="Arial"/>
          <w:lang w:eastAsia="fi-FI"/>
        </w:rPr>
      </w:pPr>
      <w:r w:rsidRPr="00862A26">
        <w:rPr>
          <w:rFonts w:eastAsia="Times New Roman" w:cs="Arial"/>
          <w:lang w:eastAsia="fi-FI"/>
        </w:rPr>
        <w:t>tilikaudella tai aikaisemmalla tilikaudella saadut maksut sellaisista tuloista, jotka toteutuvat suoriteperusteisesti tai suoriteperustetta vastaavalla tavalla tulevina tilikausina, jollei niitä ole merkittävä ennakkomaksuihin,</w:t>
      </w:r>
    </w:p>
    <w:p w:rsidR="00862A26" w:rsidRPr="00862A26" w:rsidRDefault="00862A26" w:rsidP="00862A26">
      <w:pPr>
        <w:pStyle w:val="Luettelokappale"/>
        <w:spacing w:before="100" w:beforeAutospacing="1" w:after="100" w:afterAutospacing="1"/>
        <w:rPr>
          <w:rFonts w:eastAsia="Times New Roman" w:cs="Arial"/>
          <w:lang w:eastAsia="fi-FI"/>
        </w:rPr>
      </w:pPr>
    </w:p>
    <w:p w:rsidR="00862A26" w:rsidRPr="00862A26" w:rsidRDefault="00862A26" w:rsidP="00862A26">
      <w:pPr>
        <w:pStyle w:val="Luettelokappale"/>
        <w:numPr>
          <w:ilvl w:val="0"/>
          <w:numId w:val="1"/>
        </w:numPr>
        <w:spacing w:before="100" w:beforeAutospacing="1" w:after="100" w:afterAutospacing="1"/>
        <w:rPr>
          <w:rFonts w:eastAsia="Times New Roman" w:cs="Arial"/>
          <w:lang w:eastAsia="fi-FI"/>
        </w:rPr>
      </w:pPr>
      <w:r w:rsidRPr="00862A26">
        <w:rPr>
          <w:rFonts w:eastAsia="Times New Roman" w:cs="Arial"/>
          <w:lang w:eastAsia="fi-FI"/>
        </w:rPr>
        <w:t>sellaiset suoriteperusteisesti tai suoriteperustetta vastaavalla tavalla toteutuneet menot, joista ei ole suoritettu maksua, jollei niitä ole merkittävä ostovelkoihin sekä</w:t>
      </w:r>
    </w:p>
    <w:p w:rsidR="00862A26" w:rsidRPr="00862A26" w:rsidRDefault="00862A26" w:rsidP="00862A26">
      <w:pPr>
        <w:pStyle w:val="Luettelokappale"/>
        <w:rPr>
          <w:rFonts w:eastAsia="Times New Roman" w:cs="Arial"/>
          <w:lang w:eastAsia="fi-FI"/>
        </w:rPr>
      </w:pPr>
    </w:p>
    <w:p w:rsidR="00862A26" w:rsidRPr="00862A26" w:rsidRDefault="00862A26" w:rsidP="00862A26">
      <w:pPr>
        <w:pStyle w:val="Luettelokappale"/>
        <w:spacing w:before="100" w:beforeAutospacing="1" w:after="100" w:afterAutospacing="1"/>
        <w:rPr>
          <w:rFonts w:eastAsia="Times New Roman" w:cs="Arial"/>
          <w:lang w:eastAsia="fi-FI"/>
        </w:rPr>
      </w:pPr>
      <w:r w:rsidRPr="00862A26">
        <w:rPr>
          <w:rFonts w:eastAsia="Times New Roman" w:cs="Arial"/>
          <w:lang w:eastAsia="fi-FI"/>
        </w:rPr>
        <w:t>3) vastaiset menot ja menetykset, jollei niitä ole merkittävä pakollisiin varauksiin siten kuin 5 luvun 14 §:n 3 momentissa säädetään tai vähennettävä asianomaisen omaisuuserän taseeseen merkittävästä arvosta.</w:t>
      </w:r>
    </w:p>
    <w:p w:rsidR="00862A26" w:rsidRPr="00862A26" w:rsidRDefault="00862A26" w:rsidP="00862A26">
      <w:pPr>
        <w:rPr>
          <w:rFonts w:cs="Arial"/>
          <w:shd w:val="clear" w:color="auto" w:fill="FFFFFF"/>
        </w:rPr>
      </w:pPr>
      <w:r w:rsidRPr="00862A26">
        <w:rPr>
          <w:rFonts w:cs="Arial"/>
          <w:shd w:val="clear" w:color="auto" w:fill="FFFFFF"/>
        </w:rPr>
        <w:t>Suoriteperusteiseen kirjanpitoon kuuluu velat, jotka ovat syntyneet tilikauden aikana ja joista ei ole saatu vielä laskua. Myös ostolaskut jotka ovat vielä kierrossa, eikä siten ole siirretty kirjanpitoon kauden sulkeuduttua tulee jaksottaa ja kirjata siirtovelaksi.</w:t>
      </w:r>
    </w:p>
    <w:p w:rsidR="00862A26" w:rsidRPr="00862A26" w:rsidRDefault="00862A26" w:rsidP="00862A26">
      <w:pPr>
        <w:spacing w:before="100" w:beforeAutospacing="1" w:after="100" w:afterAutospacing="1"/>
        <w:rPr>
          <w:rFonts w:eastAsia="Times New Roman" w:cs="Arial"/>
          <w:lang w:eastAsia="fi-FI"/>
        </w:rPr>
      </w:pPr>
      <w:r w:rsidRPr="00862A26">
        <w:rPr>
          <w:rFonts w:eastAsia="Times New Roman" w:cs="Arial"/>
          <w:lang w:eastAsia="fi-FI"/>
        </w:rPr>
        <w:t xml:space="preserve">Kirjanpitolautakunta on antanut myös lausuntoja vuosina 1999/1561 ja 2001/1664 siirto-, osto- ja muiden velkoihin sisältyvistä eristä. </w:t>
      </w:r>
    </w:p>
    <w:p w:rsidR="00862A26" w:rsidRPr="00862A26" w:rsidRDefault="00862A26" w:rsidP="00862A26">
      <w:pPr>
        <w:spacing w:before="100" w:beforeAutospacing="1" w:after="100" w:afterAutospacing="1"/>
        <w:rPr>
          <w:rFonts w:cs="Arial"/>
        </w:rPr>
      </w:pPr>
      <w:r w:rsidRPr="00862A26">
        <w:rPr>
          <w:rFonts w:cs="Arial"/>
        </w:rPr>
        <w:t xml:space="preserve">Taseessa </w:t>
      </w:r>
      <w:r w:rsidRPr="00862A26">
        <w:rPr>
          <w:rFonts w:cs="Arial"/>
          <w:iCs/>
        </w:rPr>
        <w:t>siirtovelkoihin</w:t>
      </w:r>
      <w:r w:rsidRPr="00862A26">
        <w:rPr>
          <w:rFonts w:cs="Arial"/>
        </w:rPr>
        <w:t xml:space="preserve"> merkitään puolestaan tulojen ja menojen jaksottamiseen liittyvät, luonteeltaan laskennalliset erät. Näitä ovat esim. lomapalkat ja muut tilikaudelta maksamatta olevat palkat (esim. ylityökorvaukset tai tilikauden tuloksen perusteella määräytyvät tulospalkkiot) henkilösivukuluineen sekä erä, joka johtuu tilikaudelle kuuluvien tuloverojen jaksottamisesta suoriteperustetta vastaavalla tavalla. </w:t>
      </w:r>
    </w:p>
    <w:p w:rsidR="00862A26" w:rsidRPr="00862A26" w:rsidRDefault="00862A26" w:rsidP="00862A26">
      <w:pPr>
        <w:spacing w:before="100" w:beforeAutospacing="1" w:after="100" w:afterAutospacing="1"/>
        <w:rPr>
          <w:rFonts w:eastAsia="Times New Roman" w:cs="Arial"/>
          <w:lang w:eastAsia="fi-FI"/>
        </w:rPr>
      </w:pPr>
      <w:r w:rsidRPr="00862A26">
        <w:rPr>
          <w:rFonts w:cs="Arial"/>
        </w:rPr>
        <w:t>Tilinpäätöstä laadittaessa kirjattavat suoriteperusteiset tai palkkojen kokonaismäärään perustuvat henkilösivukulujen jaksotuserät, esim. TEL-velka ovat siirtovelkoja. Myös korko- ja vuokravelat samoin kuin vuosi- ja muut alennusvelat ovat yleensä laskennallisia ja ne merkitään siirtovelkoihin</w:t>
      </w:r>
    </w:p>
    <w:p w:rsidR="00862A26" w:rsidRPr="00862A26" w:rsidRDefault="00862A26" w:rsidP="00862A26">
      <w:pPr>
        <w:rPr>
          <w:rFonts w:cs="Arial"/>
          <w:b/>
        </w:rPr>
      </w:pPr>
      <w:r w:rsidRPr="00862A26">
        <w:rPr>
          <w:rFonts w:cs="Arial"/>
          <w:b/>
        </w:rPr>
        <w:t>Muut velat</w:t>
      </w:r>
    </w:p>
    <w:p w:rsidR="00862A26" w:rsidRPr="00862A26" w:rsidRDefault="00862A26" w:rsidP="00862A26">
      <w:pPr>
        <w:rPr>
          <w:rFonts w:cs="Arial"/>
        </w:rPr>
      </w:pPr>
      <w:r w:rsidRPr="00862A26">
        <w:rPr>
          <w:rFonts w:cs="Arial"/>
        </w:rPr>
        <w:t xml:space="preserve">Taseessa </w:t>
      </w:r>
      <w:r w:rsidRPr="00862A26">
        <w:rPr>
          <w:rFonts w:cs="Arial"/>
          <w:iCs/>
        </w:rPr>
        <w:t>muihin velkoihin</w:t>
      </w:r>
      <w:r w:rsidRPr="00862A26">
        <w:rPr>
          <w:rFonts w:cs="Arial"/>
        </w:rPr>
        <w:t xml:space="preserve"> merkittävät erät ovat velkoja jotka perustuvat esim. velkakirjaan, verolippuun tai velan summan ja velkojan osoittavaan dokumenttiin, kuten esim. ennakonpidätyksen ja sosiaaliturvamaksun osoittavaan tilityslaskelmaan. </w:t>
      </w:r>
    </w:p>
    <w:p w:rsidR="00862A26" w:rsidRPr="00862A26" w:rsidRDefault="00862A26" w:rsidP="00862A26">
      <w:pPr>
        <w:rPr>
          <w:rFonts w:cs="Arial"/>
        </w:rPr>
      </w:pPr>
      <w:r w:rsidRPr="00862A26">
        <w:rPr>
          <w:rFonts w:cs="Arial"/>
        </w:rPr>
        <w:t>Arvonlisävero ei ole menon jaksottamisesta johtuva erä, joten se kuuluu merkittäväksi muihin velkoihin. Ennakonpidätysvelka sekä ennakonpidätyksen yhteydessä tilitettävät maksettuihin palkkoihin liittyvät sosiaaliturvamaksu ja muut maksut luetaan muihin velkoihin.</w:t>
      </w:r>
    </w:p>
    <w:p w:rsidR="00862A26" w:rsidRPr="00862A26" w:rsidRDefault="00862A26" w:rsidP="00862A26">
      <w:pPr>
        <w:rPr>
          <w:rFonts w:cs="Arial"/>
          <w:shd w:val="clear" w:color="auto" w:fill="EFEAE0"/>
        </w:rPr>
      </w:pPr>
      <w:r w:rsidRPr="00862A26">
        <w:rPr>
          <w:rFonts w:cs="Arial"/>
        </w:rPr>
        <w:lastRenderedPageBreak/>
        <w:br/>
        <w:t xml:space="preserve">Muihin velkoihin kuuluvat myös muun muassa osakas- ynnä muut lainat, </w:t>
      </w:r>
      <w:proofErr w:type="spellStart"/>
      <w:r w:rsidRPr="00862A26">
        <w:rPr>
          <w:rFonts w:cs="Arial"/>
        </w:rPr>
        <w:t>factorinluotto</w:t>
      </w:r>
      <w:proofErr w:type="spellEnd"/>
      <w:r w:rsidRPr="00862A26">
        <w:rPr>
          <w:rFonts w:cs="Arial"/>
        </w:rPr>
        <w:t xml:space="preserve"> ja osingonjakovelka.</w:t>
      </w:r>
      <w:r w:rsidRPr="00862A26">
        <w:rPr>
          <w:rFonts w:cs="Arial"/>
        </w:rPr>
        <w:br/>
      </w:r>
    </w:p>
    <w:p w:rsidR="00862A26" w:rsidRPr="00862A26" w:rsidRDefault="00862A26" w:rsidP="00862A26">
      <w:pPr>
        <w:rPr>
          <w:rFonts w:cs="Arial"/>
        </w:rPr>
      </w:pPr>
      <w:r w:rsidRPr="00862A26">
        <w:rPr>
          <w:rFonts w:cs="Arial"/>
        </w:rPr>
        <w:t>Teija Kerbs</w:t>
      </w:r>
      <w:r>
        <w:rPr>
          <w:rFonts w:cs="Arial"/>
        </w:rPr>
        <w:br/>
        <w:t>K</w:t>
      </w:r>
      <w:r w:rsidRPr="00862A26">
        <w:rPr>
          <w:rFonts w:cs="Arial"/>
        </w:rPr>
        <w:t>irjanpidon asiantuntija</w:t>
      </w:r>
      <w:r>
        <w:rPr>
          <w:rFonts w:cs="Arial"/>
        </w:rPr>
        <w:br/>
        <w:t>Helsingin seudun kauppakamari</w:t>
      </w:r>
      <w:bookmarkStart w:id="0" w:name="_GoBack"/>
      <w:bookmarkEnd w:id="0"/>
    </w:p>
    <w:p w:rsidR="00862A26" w:rsidRPr="00862A26" w:rsidRDefault="00862A26" w:rsidP="00862A26">
      <w:pPr>
        <w:rPr>
          <w:rFonts w:cs="Arial"/>
        </w:rPr>
      </w:pPr>
    </w:p>
    <w:p w:rsidR="00862A26" w:rsidRPr="00EC593E" w:rsidRDefault="00862A26" w:rsidP="00862A26">
      <w:pPr>
        <w:rPr>
          <w:rFonts w:ascii="Arial" w:hAnsi="Arial" w:cs="Arial"/>
          <w:sz w:val="24"/>
          <w:szCs w:val="24"/>
        </w:rPr>
      </w:pPr>
    </w:p>
    <w:p w:rsidR="00906F02" w:rsidRDefault="00906F02"/>
    <w:sectPr w:rsidR="00906F02" w:rsidSect="003400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B7A18"/>
    <w:multiLevelType w:val="hybridMultilevel"/>
    <w:tmpl w:val="C0587BB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26"/>
    <w:rsid w:val="00862A26"/>
    <w:rsid w:val="00906F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0AFE8-01D3-48B5-A1E3-D6C25D48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62A26"/>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862A26"/>
  </w:style>
  <w:style w:type="paragraph" w:styleId="Luettelokappale">
    <w:name w:val="List Paragraph"/>
    <w:basedOn w:val="Normaali"/>
    <w:uiPriority w:val="34"/>
    <w:qFormat/>
    <w:rsid w:val="00862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2471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2015-04-29T08:29:00Z</dcterms:created>
  <dcterms:modified xsi:type="dcterms:W3CDTF">2015-04-29T08:30:00Z</dcterms:modified>
</cp:coreProperties>
</file>