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CD0" w:rsidRPr="00121CD0" w:rsidRDefault="00121CD0" w:rsidP="00121CD0">
      <w:pPr>
        <w:rPr>
          <w:rFonts w:cs="Arial"/>
          <w:b/>
        </w:rPr>
      </w:pPr>
      <w:r w:rsidRPr="00121CD0">
        <w:rPr>
          <w:rFonts w:cs="Arial"/>
          <w:b/>
        </w:rPr>
        <w:t>Osakeyhtiön saaman lahja käsittely kirjanpidossa</w:t>
      </w:r>
    </w:p>
    <w:p w:rsidR="00121CD0" w:rsidRPr="00121CD0" w:rsidRDefault="00121CD0" w:rsidP="00121CD0">
      <w:pPr>
        <w:rPr>
          <w:rFonts w:cs="Arial"/>
        </w:rPr>
      </w:pPr>
      <w:r w:rsidRPr="00121CD0">
        <w:rPr>
          <w:rFonts w:cs="Arial"/>
        </w:rPr>
        <w:t>Myös osakeyhtiö voi saada sille osoitetun lahjan. Lahjoitus voi tulla osakkeiden muodossa, rakennuksena tai muuna käyttöomaisuutena tai miksi ei jopa rahana. Yhtiön johto päättää, ottaako se lahjan vastaan. Lahjaan voi liittyä kuluja, jotka tulee vaikutuksiltaan huomioida.</w:t>
      </w:r>
    </w:p>
    <w:p w:rsidR="00121CD0" w:rsidRPr="00121CD0" w:rsidRDefault="00121CD0" w:rsidP="00121CD0">
      <w:pPr>
        <w:rPr>
          <w:rFonts w:cs="Arial"/>
          <w:b/>
        </w:rPr>
      </w:pPr>
      <w:r w:rsidRPr="00121CD0">
        <w:rPr>
          <w:rFonts w:cs="Arial"/>
          <w:b/>
        </w:rPr>
        <w:t>Osakkeet lahjana</w:t>
      </w:r>
    </w:p>
    <w:p w:rsidR="00121CD0" w:rsidRPr="00121CD0" w:rsidRDefault="00121CD0" w:rsidP="00121CD0">
      <w:pPr>
        <w:rPr>
          <w:rFonts w:cs="Arial"/>
        </w:rPr>
      </w:pPr>
      <w:r w:rsidRPr="00121CD0">
        <w:rPr>
          <w:rFonts w:cs="Arial"/>
        </w:rPr>
        <w:t xml:space="preserve">Osakkeita voidaan lahjoittaa esimerkiksi sukupolven vaihdoksen yhteydessä. </w:t>
      </w:r>
    </w:p>
    <w:p w:rsidR="00121CD0" w:rsidRPr="00121CD0" w:rsidRDefault="00121CD0" w:rsidP="00121CD0">
      <w:pPr>
        <w:rPr>
          <w:rFonts w:cs="Arial"/>
        </w:rPr>
      </w:pPr>
      <w:r w:rsidRPr="00121CD0">
        <w:rPr>
          <w:rFonts w:cs="Arial"/>
        </w:rPr>
        <w:t>Kirjanpitolautakunta on antanut lausunnon 1607/2000 jossa todetaan kirjanpidollisesta käsittelystä seuraavaa:</w:t>
      </w:r>
    </w:p>
    <w:p w:rsidR="00121CD0" w:rsidRPr="00121CD0" w:rsidRDefault="00121CD0" w:rsidP="00121CD0">
      <w:pPr>
        <w:pStyle w:val="Vaintekstin"/>
        <w:spacing w:line="276" w:lineRule="auto"/>
        <w:rPr>
          <w:rFonts w:asciiTheme="minorHAnsi" w:hAnsiTheme="minorHAnsi" w:cs="Arial"/>
          <w:sz w:val="22"/>
          <w:szCs w:val="22"/>
        </w:rPr>
      </w:pPr>
      <w:r w:rsidRPr="00121CD0">
        <w:rPr>
          <w:rFonts w:asciiTheme="minorHAnsi" w:hAnsiTheme="minorHAnsi" w:cs="Arial"/>
          <w:sz w:val="22"/>
          <w:szCs w:val="22"/>
        </w:rPr>
        <w:t>Lahjoituksena saadut osakkeet merkitään taseeseen luovutushetken mukaiseen arvoon. Taseeseen merkittävä määrä ei saa ylittää osakkeiden todennäköistä luovutushintaa. Tuloslaskelmaan tehdään vastaavan suuruinen tuloutusmerkintä. Merkitä tehdään KPL 4:2 §:ssä säädetyin edellytyksin satunnaisiin tuottoihin. Vuonna 2016 alkaen kirjaus tehdään liiketoiminnan muihin tuottoihin.</w:t>
      </w:r>
    </w:p>
    <w:p w:rsidR="00121CD0" w:rsidRPr="00121CD0" w:rsidRDefault="00121CD0" w:rsidP="00121CD0">
      <w:pPr>
        <w:rPr>
          <w:rFonts w:cs="Arial"/>
        </w:rPr>
      </w:pPr>
      <w:r w:rsidRPr="00121CD0">
        <w:rPr>
          <w:rFonts w:cs="Arial"/>
        </w:rPr>
        <w:t xml:space="preserve"> Osakkeista maksettua lahjaveroa ei käsitellä hankintamenon osana, vaan se kirjataan vuosikuluksi.</w:t>
      </w:r>
    </w:p>
    <w:p w:rsidR="00121CD0" w:rsidRPr="00121CD0" w:rsidRDefault="00121CD0" w:rsidP="00121CD0">
      <w:pPr>
        <w:rPr>
          <w:rFonts w:cs="Arial"/>
          <w:b/>
        </w:rPr>
      </w:pPr>
      <w:r w:rsidRPr="00121CD0">
        <w:rPr>
          <w:rFonts w:cs="Arial"/>
          <w:b/>
        </w:rPr>
        <w:t>Muu käyttöomaisuus lahjana</w:t>
      </w:r>
    </w:p>
    <w:p w:rsidR="00121CD0" w:rsidRPr="00121CD0" w:rsidRDefault="00121CD0" w:rsidP="00121CD0">
      <w:pPr>
        <w:pStyle w:val="Vaintekstin"/>
        <w:spacing w:line="276" w:lineRule="auto"/>
        <w:rPr>
          <w:rFonts w:asciiTheme="minorHAnsi" w:hAnsiTheme="minorHAnsi" w:cs="Arial"/>
          <w:sz w:val="22"/>
          <w:szCs w:val="22"/>
        </w:rPr>
      </w:pPr>
      <w:r w:rsidRPr="00121CD0">
        <w:rPr>
          <w:rFonts w:asciiTheme="minorHAnsi" w:hAnsiTheme="minorHAnsi" w:cs="Arial"/>
          <w:sz w:val="22"/>
          <w:szCs w:val="22"/>
        </w:rPr>
        <w:t>Osakeyhtiön hallitus vastaa kirjanpidon järjestämisestä ja lahjoitus on hyvä käsitellä sekä hyväksyä hallituksessa. Saatu lahjoitus ei saa olla yhtiön edun vastaista, esimerkiksi jos saatu lahjoituksena vanha hometalo tai vanha puuvene ja jonka korjaus saattaa tulla yhtiölle erittäinkin kalliiksi. Tällöin ei kyseessä ole yhtiön edunmukainen lahjoitus.</w:t>
      </w:r>
      <w:r w:rsidRPr="00121CD0">
        <w:rPr>
          <w:rFonts w:asciiTheme="minorHAnsi" w:hAnsiTheme="minorHAnsi" w:cs="Arial"/>
          <w:i/>
          <w:iCs/>
          <w:sz w:val="22"/>
          <w:szCs w:val="22"/>
        </w:rPr>
        <w:t xml:space="preserve"> </w:t>
      </w:r>
      <w:r w:rsidRPr="00121CD0">
        <w:rPr>
          <w:rFonts w:asciiTheme="minorHAnsi" w:hAnsiTheme="minorHAnsi" w:cs="Arial"/>
          <w:iCs/>
          <w:sz w:val="22"/>
          <w:szCs w:val="22"/>
        </w:rPr>
        <w:t>Hallituksella on huolellisuusvelvollisuus ja lahjoitusta vastaanottaessa tulee ottaa huomioon myös yhtiön toimiala.</w:t>
      </w:r>
    </w:p>
    <w:p w:rsidR="00121CD0" w:rsidRPr="00121CD0" w:rsidRDefault="00121CD0" w:rsidP="00121CD0">
      <w:pPr>
        <w:pStyle w:val="Vaintekstin"/>
        <w:spacing w:line="276" w:lineRule="auto"/>
        <w:rPr>
          <w:rFonts w:asciiTheme="minorHAnsi" w:hAnsiTheme="minorHAnsi" w:cs="Arial"/>
          <w:sz w:val="22"/>
          <w:szCs w:val="22"/>
        </w:rPr>
      </w:pPr>
      <w:bookmarkStart w:id="0" w:name="_GoBack"/>
      <w:bookmarkEnd w:id="0"/>
    </w:p>
    <w:p w:rsidR="00121CD0" w:rsidRPr="00121CD0" w:rsidRDefault="00121CD0" w:rsidP="00121CD0">
      <w:pPr>
        <w:pStyle w:val="Vaintekstin"/>
        <w:spacing w:line="276" w:lineRule="auto"/>
        <w:rPr>
          <w:rFonts w:asciiTheme="minorHAnsi" w:hAnsiTheme="minorHAnsi" w:cs="Arial"/>
          <w:sz w:val="22"/>
          <w:szCs w:val="22"/>
        </w:rPr>
      </w:pPr>
      <w:r w:rsidRPr="00121CD0">
        <w:rPr>
          <w:rFonts w:asciiTheme="minorHAnsi" w:hAnsiTheme="minorHAnsi" w:cs="Arial"/>
          <w:sz w:val="22"/>
          <w:szCs w:val="22"/>
        </w:rPr>
        <w:t>Jos hallitus päättänyt ottaa lahjan vastaan, kirjataan taseen vastaavien kyseiseen omaisuuserään saatu lahjoitus käypään arvoon ja tuloslaskelmaan satunnaisiin tuottoihin. Vuonna 2016 alkaen kirjaus tehdään liiketoiminnan muihin tuottoihin.</w:t>
      </w:r>
    </w:p>
    <w:p w:rsidR="00121CD0" w:rsidRPr="00121CD0" w:rsidRDefault="00121CD0" w:rsidP="00121CD0">
      <w:pPr>
        <w:pStyle w:val="Vaintekstin"/>
        <w:spacing w:line="276" w:lineRule="auto"/>
        <w:rPr>
          <w:rFonts w:asciiTheme="minorHAnsi" w:hAnsiTheme="minorHAnsi" w:cs="Arial"/>
          <w:sz w:val="22"/>
          <w:szCs w:val="22"/>
        </w:rPr>
      </w:pPr>
    </w:p>
    <w:p w:rsidR="00121CD0" w:rsidRPr="00121CD0" w:rsidRDefault="00121CD0" w:rsidP="00121CD0">
      <w:pPr>
        <w:pStyle w:val="Vaintekstin"/>
        <w:spacing w:line="276" w:lineRule="auto"/>
        <w:rPr>
          <w:rFonts w:asciiTheme="minorHAnsi" w:hAnsiTheme="minorHAnsi" w:cs="Arial"/>
          <w:b/>
          <w:sz w:val="22"/>
          <w:szCs w:val="22"/>
        </w:rPr>
      </w:pPr>
      <w:r w:rsidRPr="00121CD0">
        <w:rPr>
          <w:rFonts w:asciiTheme="minorHAnsi" w:hAnsiTheme="minorHAnsi" w:cs="Arial"/>
          <w:b/>
          <w:sz w:val="22"/>
          <w:szCs w:val="22"/>
        </w:rPr>
        <w:t>Rahalahja</w:t>
      </w:r>
    </w:p>
    <w:p w:rsidR="00121CD0" w:rsidRPr="00121CD0" w:rsidRDefault="00121CD0" w:rsidP="00121CD0">
      <w:pPr>
        <w:pStyle w:val="Otsikko3"/>
        <w:shd w:val="clear" w:color="auto" w:fill="FFFFFF"/>
        <w:spacing w:before="300" w:after="240"/>
        <w:textAlignment w:val="baseline"/>
        <w:rPr>
          <w:rFonts w:asciiTheme="minorHAnsi" w:hAnsiTheme="minorHAnsi" w:cs="Arial"/>
          <w:b w:val="0"/>
          <w:bCs w:val="0"/>
          <w:color w:val="auto"/>
        </w:rPr>
      </w:pPr>
      <w:r w:rsidRPr="00121CD0">
        <w:rPr>
          <w:rFonts w:asciiTheme="minorHAnsi" w:hAnsiTheme="minorHAnsi" w:cs="Arial"/>
          <w:b w:val="0"/>
          <w:color w:val="auto"/>
        </w:rPr>
        <w:t xml:space="preserve">Saadun rahalahjoituksen alkuperä tulee selvittää ja dokumentoida.  Myös </w:t>
      </w:r>
      <w:r w:rsidRPr="00121CD0">
        <w:rPr>
          <w:rFonts w:asciiTheme="minorHAnsi" w:hAnsiTheme="minorHAnsi" w:cs="Arial"/>
          <w:b w:val="0"/>
          <w:bCs w:val="0"/>
          <w:color w:val="auto"/>
        </w:rPr>
        <w:t>Laki rahanpesun ja terrorismin rahoittamisen estämisestä ja selvittämisestä tulee tiedostaa ja ottaa huomioon yhtiön hallituksessa.</w:t>
      </w:r>
    </w:p>
    <w:p w:rsidR="00121CD0" w:rsidRPr="00121CD0" w:rsidRDefault="00121CD0" w:rsidP="00121CD0">
      <w:pPr>
        <w:pStyle w:val="Otsikko3"/>
        <w:shd w:val="clear" w:color="auto" w:fill="FFFFFF"/>
        <w:spacing w:before="300" w:after="240"/>
        <w:textAlignment w:val="baseline"/>
        <w:rPr>
          <w:rFonts w:asciiTheme="minorHAnsi" w:hAnsiTheme="minorHAnsi" w:cs="Arial"/>
          <w:b w:val="0"/>
          <w:color w:val="auto"/>
        </w:rPr>
      </w:pPr>
      <w:r w:rsidRPr="00121CD0">
        <w:rPr>
          <w:rFonts w:asciiTheme="minorHAnsi" w:hAnsiTheme="minorHAnsi" w:cs="Arial"/>
          <w:b w:val="0"/>
          <w:bCs w:val="0"/>
          <w:color w:val="auto"/>
        </w:rPr>
        <w:t>Rahalahja kirjataan kirjanpitoon saatuun määräänsä taseeseen ja satunnaisiin tuottoihin tuloslaskelmaan.</w:t>
      </w:r>
      <w:r w:rsidRPr="00121CD0">
        <w:rPr>
          <w:rFonts w:asciiTheme="minorHAnsi" w:hAnsiTheme="minorHAnsi" w:cs="Arial"/>
          <w:color w:val="auto"/>
        </w:rPr>
        <w:t xml:space="preserve"> </w:t>
      </w:r>
      <w:r w:rsidRPr="00121CD0">
        <w:rPr>
          <w:rFonts w:asciiTheme="minorHAnsi" w:hAnsiTheme="minorHAnsi" w:cs="Arial"/>
          <w:b w:val="0"/>
          <w:color w:val="auto"/>
        </w:rPr>
        <w:t>Vuonna 2016 alkaen kirjaus tehdään liiketoiminnan muihin tuottoihin.</w:t>
      </w:r>
    </w:p>
    <w:p w:rsidR="00121CD0" w:rsidRPr="00121CD0" w:rsidRDefault="00121CD0" w:rsidP="00121CD0">
      <w:pPr>
        <w:pStyle w:val="Otsikko3"/>
        <w:shd w:val="clear" w:color="auto" w:fill="FFFFFF"/>
        <w:spacing w:before="300" w:after="240"/>
        <w:textAlignment w:val="baseline"/>
        <w:rPr>
          <w:rFonts w:asciiTheme="minorHAnsi" w:hAnsiTheme="minorHAnsi" w:cs="Arial"/>
          <w:bCs w:val="0"/>
          <w:color w:val="auto"/>
        </w:rPr>
      </w:pPr>
      <w:r w:rsidRPr="00121CD0">
        <w:rPr>
          <w:rFonts w:asciiTheme="minorHAnsi" w:hAnsiTheme="minorHAnsi" w:cs="Arial"/>
          <w:color w:val="auto"/>
        </w:rPr>
        <w:t>Liitetieto</w:t>
      </w:r>
    </w:p>
    <w:p w:rsidR="00121CD0" w:rsidRPr="00121CD0" w:rsidRDefault="00121CD0" w:rsidP="00121CD0">
      <w:pPr>
        <w:pStyle w:val="Otsikko3"/>
        <w:shd w:val="clear" w:color="auto" w:fill="FFFFFF"/>
        <w:spacing w:before="300" w:after="240"/>
        <w:textAlignment w:val="baseline"/>
        <w:rPr>
          <w:rFonts w:asciiTheme="minorHAnsi" w:hAnsiTheme="minorHAnsi" w:cs="Arial"/>
          <w:b w:val="0"/>
          <w:bCs w:val="0"/>
          <w:color w:val="auto"/>
        </w:rPr>
      </w:pPr>
      <w:r w:rsidRPr="00121CD0">
        <w:rPr>
          <w:rFonts w:asciiTheme="minorHAnsi" w:hAnsiTheme="minorHAnsi" w:cs="Arial"/>
          <w:b w:val="0"/>
          <w:bCs w:val="0"/>
          <w:color w:val="auto"/>
        </w:rPr>
        <w:t>Liitetietona tulee esittää satunnaisiin tuottoihin sisältyvät erät. Myös vuodesta 2016 eteenpäin liiketoiminnan muihin tuottoihin sisältyvistä poikkeuksellisista eristä annetaan liitetieto.</w:t>
      </w:r>
    </w:p>
    <w:p w:rsidR="00121CD0" w:rsidRPr="00121CD0" w:rsidRDefault="00121CD0" w:rsidP="00121CD0">
      <w:r w:rsidRPr="00121CD0">
        <w:t>Teija Kerbs</w:t>
      </w:r>
      <w:r w:rsidRPr="00121CD0">
        <w:br/>
        <w:t xml:space="preserve">Kirjanpidon asiantuntija </w:t>
      </w:r>
    </w:p>
    <w:p w:rsidR="009B3E9C" w:rsidRDefault="009B3E9C"/>
    <w:sectPr w:rsidR="009B3E9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D0"/>
    <w:rsid w:val="00121CD0"/>
    <w:rsid w:val="009B3E9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98EC2-3AA9-4D09-A118-4F85CE3DB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121CD0"/>
    <w:pPr>
      <w:spacing w:after="200" w:line="276" w:lineRule="auto"/>
    </w:pPr>
  </w:style>
  <w:style w:type="paragraph" w:styleId="Otsikko3">
    <w:name w:val="heading 3"/>
    <w:basedOn w:val="Normaali"/>
    <w:next w:val="Normaali"/>
    <w:link w:val="Otsikko3Char"/>
    <w:uiPriority w:val="9"/>
    <w:semiHidden/>
    <w:unhideWhenUsed/>
    <w:qFormat/>
    <w:rsid w:val="00121CD0"/>
    <w:pPr>
      <w:keepNext/>
      <w:keepLines/>
      <w:spacing w:before="200" w:after="0"/>
      <w:outlineLvl w:val="2"/>
    </w:pPr>
    <w:rPr>
      <w:rFonts w:asciiTheme="majorHAnsi" w:eastAsiaTheme="majorEastAsia" w:hAnsiTheme="majorHAnsi" w:cstheme="majorBidi"/>
      <w:b/>
      <w:bCs/>
      <w:color w:val="5B9BD5"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semiHidden/>
    <w:rsid w:val="00121CD0"/>
    <w:rPr>
      <w:rFonts w:asciiTheme="majorHAnsi" w:eastAsiaTheme="majorEastAsia" w:hAnsiTheme="majorHAnsi" w:cstheme="majorBidi"/>
      <w:b/>
      <w:bCs/>
      <w:color w:val="5B9BD5" w:themeColor="accent1"/>
    </w:rPr>
  </w:style>
  <w:style w:type="paragraph" w:styleId="Vaintekstin">
    <w:name w:val="Plain Text"/>
    <w:basedOn w:val="Normaali"/>
    <w:link w:val="VaintekstinChar"/>
    <w:uiPriority w:val="99"/>
    <w:semiHidden/>
    <w:unhideWhenUsed/>
    <w:rsid w:val="00121CD0"/>
    <w:pPr>
      <w:spacing w:after="0" w:line="240" w:lineRule="auto"/>
    </w:pPr>
    <w:rPr>
      <w:rFonts w:ascii="Consolas" w:eastAsia="Calibri" w:hAnsi="Consolas" w:cs="Times New Roman"/>
      <w:sz w:val="21"/>
      <w:szCs w:val="21"/>
    </w:rPr>
  </w:style>
  <w:style w:type="character" w:customStyle="1" w:styleId="VaintekstinChar">
    <w:name w:val="Vain tekstinä Char"/>
    <w:basedOn w:val="Kappaleenoletusfontti"/>
    <w:link w:val="Vaintekstin"/>
    <w:uiPriority w:val="99"/>
    <w:semiHidden/>
    <w:rsid w:val="00121CD0"/>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2108</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 Peltonen</dc:creator>
  <cp:keywords/>
  <dc:description/>
  <cp:lastModifiedBy>Mika Peltonen</cp:lastModifiedBy>
  <cp:revision>1</cp:revision>
  <dcterms:created xsi:type="dcterms:W3CDTF">2015-11-02T12:28:00Z</dcterms:created>
  <dcterms:modified xsi:type="dcterms:W3CDTF">2015-11-02T12:29:00Z</dcterms:modified>
</cp:coreProperties>
</file>