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120" w:rsidRDefault="00EA2120" w:rsidP="00EA2120">
      <w:pPr>
        <w:rPr>
          <w:rFonts w:ascii="Arial" w:hAnsi="Arial" w:cs="Arial"/>
          <w:b/>
          <w:sz w:val="24"/>
          <w:szCs w:val="24"/>
        </w:rPr>
      </w:pPr>
      <w:r w:rsidRPr="006F5246">
        <w:rPr>
          <w:rFonts w:ascii="Arial" w:hAnsi="Arial" w:cs="Arial"/>
          <w:b/>
          <w:sz w:val="24"/>
          <w:szCs w:val="24"/>
        </w:rPr>
        <w:t>Omien osakkeiden käsittelystä kirjanpidossa</w:t>
      </w:r>
    </w:p>
    <w:p w:rsidR="00EA2120" w:rsidRDefault="00EA2120" w:rsidP="00EA2120">
      <w:pPr>
        <w:rPr>
          <w:rFonts w:ascii="Arial" w:hAnsi="Arial" w:cs="Arial"/>
          <w:b/>
          <w:sz w:val="24"/>
          <w:szCs w:val="24"/>
        </w:rPr>
      </w:pPr>
    </w:p>
    <w:p w:rsidR="00EA2120" w:rsidRPr="006F5246" w:rsidRDefault="00EA2120" w:rsidP="00EA2120">
      <w:pPr>
        <w:rPr>
          <w:rFonts w:ascii="Arial" w:hAnsi="Arial" w:cs="Arial"/>
          <w:sz w:val="24"/>
          <w:szCs w:val="24"/>
        </w:rPr>
      </w:pPr>
      <w:r w:rsidRPr="006F5246">
        <w:rPr>
          <w:rFonts w:ascii="Arial" w:hAnsi="Arial" w:cs="Arial"/>
          <w:sz w:val="24"/>
          <w:szCs w:val="24"/>
        </w:rPr>
        <w:t>Yhtiön ostaessa vapaaehtoisilla kaupoilla omia osakkeitaan osakkeenomistajiltaan, on kyse osakeyhtiölain 15 luvun tarkoittamasta omien osakkeiden hankkimisesta.</w:t>
      </w:r>
    </w:p>
    <w:p w:rsidR="00EA2120" w:rsidRPr="006F5246" w:rsidRDefault="00EA2120" w:rsidP="00EA2120">
      <w:pPr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 w:rsidRPr="006F5246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Yhtiö voi hankkia omia osakkeitaan sekä vapaalla omalla pääomalla että sidotulla omalla pääomalla. Omien osakkeiden hankinta tapahtuu pääsääntöisesti yhtiön vapaan oman pääoman puitteissa, samoilla edellytyksillä kuin osingonjako olisi mahdollinen. </w:t>
      </w:r>
    </w:p>
    <w:p w:rsidR="00EA2120" w:rsidRPr="006F5246" w:rsidRDefault="00EA2120" w:rsidP="00EA2120">
      <w:pPr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 w:rsidRPr="006F5246">
        <w:rPr>
          <w:rFonts w:ascii="Arial" w:hAnsi="Arial" w:cs="Arial"/>
          <w:spacing w:val="1"/>
          <w:sz w:val="24"/>
          <w:szCs w:val="24"/>
          <w:shd w:val="clear" w:color="auto" w:fill="FFFFFF"/>
        </w:rPr>
        <w:t>Jos yhtiö kuitenkin käyttää omien osakkeiden hankintaan sidottua omaa pääomaa, on noudatettava osakeyhtiölain 14 luvun osakepääoman alentamista koskevaa velkojiensuojamenettelyä.</w:t>
      </w:r>
    </w:p>
    <w:p w:rsidR="00EA2120" w:rsidRPr="006F5246" w:rsidRDefault="00EA2120" w:rsidP="00EA2120">
      <w:pPr>
        <w:rPr>
          <w:rFonts w:ascii="Arial" w:hAnsi="Arial" w:cs="Arial"/>
          <w:sz w:val="24"/>
          <w:szCs w:val="24"/>
        </w:rPr>
      </w:pPr>
    </w:p>
    <w:p w:rsidR="00EA2120" w:rsidRPr="006F5246" w:rsidRDefault="00EA2120" w:rsidP="00EA2120">
      <w:pPr>
        <w:rPr>
          <w:rFonts w:ascii="Arial" w:hAnsi="Arial" w:cs="Arial"/>
          <w:sz w:val="24"/>
          <w:szCs w:val="24"/>
        </w:rPr>
      </w:pPr>
      <w:r w:rsidRPr="006F5246">
        <w:rPr>
          <w:rFonts w:ascii="Arial" w:eastAsia="Times New Roman" w:hAnsi="Arial" w:cs="Arial"/>
          <w:b/>
          <w:sz w:val="24"/>
          <w:szCs w:val="24"/>
          <w:lang w:eastAsia="fi-FI"/>
        </w:rPr>
        <w:t>Omien osakkeiden hankinta</w:t>
      </w:r>
    </w:p>
    <w:p w:rsidR="00EA2120" w:rsidRPr="006F5246" w:rsidRDefault="00EA2120" w:rsidP="00EA2120">
      <w:pPr>
        <w:rPr>
          <w:rFonts w:ascii="Arial" w:hAnsi="Arial" w:cs="Arial"/>
          <w:sz w:val="24"/>
          <w:szCs w:val="24"/>
        </w:rPr>
      </w:pPr>
      <w:r w:rsidRPr="006F5246">
        <w:rPr>
          <w:rFonts w:ascii="Arial" w:hAnsi="Arial" w:cs="Arial"/>
          <w:sz w:val="24"/>
          <w:szCs w:val="24"/>
        </w:rPr>
        <w:t xml:space="preserve">Esimerkiksi: Yritys on sopinut ostavansa entisen työntekijän omistamat Yrityksen osakkeet hintaan 5000 euroa. Yhtiökokous on tehnyt tästä päätöksen. Samalla on päätetty myös, ettei osakepääomaa tämän osalta alenneta.  Hankitut osakkeet </w:t>
      </w:r>
      <w:proofErr w:type="gramStart"/>
      <w:r w:rsidRPr="006F5246">
        <w:rPr>
          <w:rFonts w:ascii="Arial" w:hAnsi="Arial" w:cs="Arial"/>
          <w:sz w:val="24"/>
          <w:szCs w:val="24"/>
        </w:rPr>
        <w:t>kirjataan  Debet</w:t>
      </w:r>
      <w:proofErr w:type="gramEnd"/>
      <w:r w:rsidRPr="006F5246">
        <w:rPr>
          <w:rFonts w:ascii="Arial" w:hAnsi="Arial" w:cs="Arial"/>
          <w:sz w:val="24"/>
          <w:szCs w:val="24"/>
        </w:rPr>
        <w:t xml:space="preserve">  edellisten tilikausien voitto/tappio  Kredit  pankki 5 000 euroa. Edellisten tiilikausien voitto/tappio ryhmään voi myös perustaa oman tilin omien osakkeiden kirjauksia varten, joka helpottaa seuraamaan tapahtumia.</w:t>
      </w:r>
    </w:p>
    <w:p w:rsidR="00EA2120" w:rsidRPr="006F5246" w:rsidRDefault="00EA2120" w:rsidP="00EA2120">
      <w:pPr>
        <w:rPr>
          <w:rFonts w:ascii="Arial" w:hAnsi="Arial" w:cs="Arial"/>
          <w:sz w:val="24"/>
          <w:szCs w:val="24"/>
        </w:rPr>
      </w:pPr>
      <w:r w:rsidRPr="006F5246">
        <w:rPr>
          <w:rFonts w:ascii="Arial" w:hAnsi="Arial" w:cs="Arial"/>
          <w:sz w:val="24"/>
          <w:szCs w:val="24"/>
          <w:shd w:val="clear" w:color="auto" w:fill="FFFFFF"/>
        </w:rPr>
        <w:t>Vain arvopaperimarkkinalain mukaisen julkisen kaupankäynnin kohteena oleva julkinen yhtiö saa merkitä omat osakkeensa taseeseen. Muilla kuin edellä mainituilla julkisilla yhtiöillä omat osakkeet eivät sisälly taseen eriin vaan ne ilmoitetaan liitetiedoissa.</w:t>
      </w:r>
    </w:p>
    <w:p w:rsidR="00EA2120" w:rsidRPr="006F5246" w:rsidRDefault="00EA2120" w:rsidP="00EA2120">
      <w:pPr>
        <w:rPr>
          <w:rFonts w:ascii="Arial" w:hAnsi="Arial" w:cs="Arial"/>
          <w:sz w:val="24"/>
          <w:szCs w:val="24"/>
        </w:rPr>
      </w:pPr>
      <w:r w:rsidRPr="006F5246">
        <w:rPr>
          <w:rFonts w:ascii="Arial" w:hAnsi="Arial" w:cs="Arial"/>
          <w:sz w:val="24"/>
          <w:szCs w:val="24"/>
        </w:rPr>
        <w:t>Yksityisessä osakeyhtiössä vähintään yhden osakkeen tulee olla muun kuin yhtiön hallussa. Julkinen osakeyhtiö voi hankkia enintään kymmenesosan osakkeistaan</w:t>
      </w:r>
    </w:p>
    <w:p w:rsidR="00EA2120" w:rsidRPr="006F5246" w:rsidRDefault="00EA2120" w:rsidP="00EA2120">
      <w:pPr>
        <w:rPr>
          <w:rFonts w:ascii="Arial" w:hAnsi="Arial" w:cs="Arial"/>
          <w:sz w:val="24"/>
          <w:szCs w:val="24"/>
        </w:rPr>
      </w:pPr>
      <w:r w:rsidRPr="006F5246">
        <w:rPr>
          <w:rFonts w:ascii="Arial" w:hAnsi="Arial" w:cs="Arial"/>
          <w:sz w:val="24"/>
          <w:szCs w:val="24"/>
        </w:rPr>
        <w:t>Hankitut osakkeet voidaan jättää yhtiöön tai hallitus voi milloin tahansa päättää niiden mitätöimisestä. Osakkeet on mitätöity, kun ilmoitus mitätöinnistä on rekisteröity.</w:t>
      </w:r>
    </w:p>
    <w:p w:rsidR="00EA2120" w:rsidRPr="006F5246" w:rsidRDefault="00EA2120" w:rsidP="00EA2120">
      <w:pPr>
        <w:pStyle w:val="NormaaliWWW"/>
        <w:shd w:val="clear" w:color="auto" w:fill="FFFFFF"/>
        <w:spacing w:before="0" w:beforeAutospacing="0" w:after="360" w:afterAutospacing="0" w:line="276" w:lineRule="auto"/>
        <w:textAlignment w:val="baseline"/>
        <w:rPr>
          <w:rFonts w:ascii="Arial" w:hAnsi="Arial" w:cs="Arial"/>
        </w:rPr>
      </w:pPr>
      <w:r w:rsidRPr="006F5246">
        <w:rPr>
          <w:rFonts w:ascii="Arial" w:hAnsi="Arial" w:cs="Arial"/>
          <w:b/>
          <w:bCs/>
        </w:rPr>
        <w:t>Varainsiirtovero</w:t>
      </w:r>
    </w:p>
    <w:p w:rsidR="00EA2120" w:rsidRPr="006F5246" w:rsidRDefault="00EA2120" w:rsidP="00EA2120">
      <w:pPr>
        <w:pStyle w:val="NormaaliWWW"/>
        <w:shd w:val="clear" w:color="auto" w:fill="FFFFFF"/>
        <w:spacing w:before="0" w:beforeAutospacing="0" w:after="360" w:afterAutospacing="0" w:line="276" w:lineRule="auto"/>
        <w:textAlignment w:val="baseline"/>
        <w:rPr>
          <w:rFonts w:ascii="Arial" w:hAnsi="Arial" w:cs="Arial"/>
        </w:rPr>
      </w:pPr>
      <w:r w:rsidRPr="006F5246">
        <w:rPr>
          <w:rFonts w:ascii="Arial" w:hAnsi="Arial" w:cs="Arial"/>
        </w:rPr>
        <w:t>Sekä omien osakkeiden lunastamisesta että hankkimisesta on suoritettava varainsiirtoveroa. Vero kirjataan osakkeen hankintamenoon, eli kirjaus voittovaroista kuten osakkeiden ostokin.</w:t>
      </w:r>
    </w:p>
    <w:p w:rsidR="00EA2120" w:rsidRPr="006F5246" w:rsidRDefault="00EA2120" w:rsidP="00EA2120">
      <w:pPr>
        <w:pStyle w:val="NormaaliWWW"/>
        <w:shd w:val="clear" w:color="auto" w:fill="FFFFFF"/>
        <w:spacing w:before="0" w:beforeAutospacing="0" w:after="360" w:afterAutospacing="0" w:line="276" w:lineRule="auto"/>
        <w:textAlignment w:val="baseline"/>
        <w:rPr>
          <w:rFonts w:ascii="Arial" w:hAnsi="Arial" w:cs="Arial"/>
        </w:rPr>
      </w:pPr>
      <w:r w:rsidRPr="006F5246">
        <w:rPr>
          <w:rFonts w:ascii="Arial" w:hAnsi="Arial" w:cs="Arial"/>
        </w:rPr>
        <w:t xml:space="preserve"> Arvopaperipörssissä tapahtuvista kaupoista ei varainsiirtoveroa kuitenkaan suoriteta.</w:t>
      </w:r>
    </w:p>
    <w:p w:rsidR="00EA2120" w:rsidRPr="006F5246" w:rsidRDefault="00EA2120" w:rsidP="00EA2120">
      <w:pPr>
        <w:rPr>
          <w:rFonts w:ascii="Arial" w:eastAsia="Times New Roman" w:hAnsi="Arial" w:cs="Arial"/>
          <w:b/>
          <w:sz w:val="24"/>
          <w:szCs w:val="24"/>
          <w:lang w:eastAsia="fi-FI"/>
        </w:rPr>
      </w:pPr>
      <w:r w:rsidRPr="006F5246">
        <w:rPr>
          <w:rFonts w:ascii="Arial" w:eastAsia="Times New Roman" w:hAnsi="Arial" w:cs="Arial"/>
          <w:b/>
          <w:sz w:val="24"/>
          <w:szCs w:val="24"/>
          <w:lang w:eastAsia="fi-FI"/>
        </w:rPr>
        <w:t>Omien osakkeiden myynti</w:t>
      </w:r>
    </w:p>
    <w:p w:rsidR="00EA2120" w:rsidRPr="006F5246" w:rsidRDefault="00EA2120" w:rsidP="00EA2120">
      <w:pPr>
        <w:rPr>
          <w:rFonts w:ascii="Arial" w:eastAsia="Times New Roman" w:hAnsi="Arial" w:cs="Arial"/>
          <w:sz w:val="24"/>
          <w:szCs w:val="24"/>
          <w:lang w:eastAsia="fi-FI"/>
        </w:rPr>
      </w:pPr>
      <w:r w:rsidRPr="006F5246">
        <w:rPr>
          <w:rFonts w:ascii="Arial" w:eastAsia="Times New Roman" w:hAnsi="Arial" w:cs="Arial"/>
          <w:sz w:val="24"/>
          <w:szCs w:val="24"/>
          <w:lang w:eastAsia="fi-FI"/>
        </w:rPr>
        <w:lastRenderedPageBreak/>
        <w:t>Omien osakkeiden luovuttamisesta päättää yhtiökokous tai hallitus yhtiökokouksen valtuutuspäätöksen nojalla. Yhtiöoikeudessa Omien osakkeiden luovuttaminen käsitellään osakeannin tavoin.</w:t>
      </w:r>
    </w:p>
    <w:p w:rsidR="00EA2120" w:rsidRPr="006F5246" w:rsidRDefault="00EA2120" w:rsidP="00EA2120">
      <w:pPr>
        <w:rPr>
          <w:rFonts w:ascii="Arial" w:hAnsi="Arial" w:cs="Arial"/>
          <w:sz w:val="24"/>
          <w:szCs w:val="24"/>
        </w:rPr>
      </w:pPr>
      <w:r w:rsidRPr="006F5246">
        <w:rPr>
          <w:rFonts w:ascii="Arial" w:hAnsi="Arial" w:cs="Arial"/>
          <w:sz w:val="24"/>
          <w:szCs w:val="24"/>
        </w:rPr>
        <w:t>Myytäessä yhtiön hallussa olevia omia osakkeita voittovaroihin palautetaan hankkimisen yhteydessä vähennetty määrä. Kirjaus edellisten tilikausien voitto / tappiot ryhmään. Yhtiön saadessa rahaa osakkeista enemmän kuin niiden hankintahinta oli, kirjataan ylimenevä määrä vapaan oman pääoman rahastoon.</w:t>
      </w:r>
    </w:p>
    <w:p w:rsidR="00EA2120" w:rsidRDefault="00EA2120" w:rsidP="00EA2120">
      <w:pPr>
        <w:rPr>
          <w:rFonts w:ascii="Arial" w:hAnsi="Arial" w:cs="Arial"/>
          <w:sz w:val="24"/>
          <w:szCs w:val="24"/>
        </w:rPr>
      </w:pPr>
      <w:r w:rsidRPr="006F5246">
        <w:rPr>
          <w:rFonts w:ascii="Arial" w:hAnsi="Arial" w:cs="Arial"/>
          <w:sz w:val="24"/>
          <w:szCs w:val="24"/>
        </w:rPr>
        <w:t>Jos taasen omien osakkeiden arvo on alentunut, voittovaroihin palautetaan myynnistä saatu kauppahinta. Luovutustappio jää lopullisesti rasittamaan voittovaroja.</w:t>
      </w:r>
    </w:p>
    <w:p w:rsidR="00EA2120" w:rsidRDefault="00EA2120" w:rsidP="00EA2120">
      <w:pPr>
        <w:rPr>
          <w:rFonts w:ascii="Arial" w:hAnsi="Arial" w:cs="Arial"/>
          <w:sz w:val="24"/>
          <w:szCs w:val="24"/>
        </w:rPr>
      </w:pPr>
    </w:p>
    <w:p w:rsidR="00EA2120" w:rsidRDefault="00EA2120" w:rsidP="00EA21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Kirjanpidon asiantuntija</w:t>
      </w:r>
    </w:p>
    <w:p w:rsidR="00EA2120" w:rsidRDefault="00EA2120" w:rsidP="00EA21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Teija Kerbs</w:t>
      </w:r>
    </w:p>
    <w:p w:rsidR="00EA2120" w:rsidRPr="006F5246" w:rsidRDefault="00EA2120" w:rsidP="00EA21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Helsingin seudun kauppakamari</w:t>
      </w:r>
    </w:p>
    <w:p w:rsidR="00EA2120" w:rsidRPr="006F5246" w:rsidRDefault="00EA2120" w:rsidP="00EA2120">
      <w:pPr>
        <w:rPr>
          <w:rFonts w:ascii="Arial" w:hAnsi="Arial" w:cs="Arial"/>
          <w:sz w:val="24"/>
          <w:szCs w:val="24"/>
        </w:rPr>
      </w:pPr>
    </w:p>
    <w:p w:rsidR="00EA2120" w:rsidRPr="006F5246" w:rsidRDefault="00EA2120" w:rsidP="00EA2120">
      <w:pPr>
        <w:rPr>
          <w:rFonts w:ascii="Arial" w:hAnsi="Arial" w:cs="Arial"/>
          <w:sz w:val="24"/>
          <w:szCs w:val="24"/>
        </w:rPr>
      </w:pPr>
    </w:p>
    <w:p w:rsidR="00EA2120" w:rsidRPr="006F5246" w:rsidRDefault="00EA2120" w:rsidP="00EA2120">
      <w:pPr>
        <w:rPr>
          <w:rFonts w:ascii="Arial" w:hAnsi="Arial" w:cs="Arial"/>
          <w:sz w:val="24"/>
          <w:szCs w:val="24"/>
        </w:rPr>
      </w:pPr>
    </w:p>
    <w:p w:rsidR="00EA2120" w:rsidRPr="006F5246" w:rsidRDefault="00EA2120" w:rsidP="00EA2120">
      <w:pPr>
        <w:rPr>
          <w:rFonts w:ascii="Arial" w:hAnsi="Arial" w:cs="Arial"/>
          <w:sz w:val="24"/>
          <w:szCs w:val="24"/>
        </w:rPr>
      </w:pPr>
    </w:p>
    <w:p w:rsidR="000F163B" w:rsidRDefault="000F163B">
      <w:bookmarkStart w:id="0" w:name="_GoBack"/>
      <w:bookmarkEnd w:id="0"/>
    </w:p>
    <w:sectPr w:rsidR="000F163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20"/>
    <w:rsid w:val="000F163B"/>
    <w:rsid w:val="00EA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770D-7DA6-4A6E-97C6-6B6A68D4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A2120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EA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1</cp:revision>
  <dcterms:created xsi:type="dcterms:W3CDTF">2015-03-24T08:01:00Z</dcterms:created>
  <dcterms:modified xsi:type="dcterms:W3CDTF">2015-03-24T08:01:00Z</dcterms:modified>
</cp:coreProperties>
</file>