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C1" w:rsidRPr="003333C1" w:rsidRDefault="003333C1" w:rsidP="003333C1">
      <w:pPr>
        <w:spacing w:after="168" w:line="240" w:lineRule="atLeast"/>
        <w:outlineLvl w:val="1"/>
        <w:rPr>
          <w:rFonts w:ascii="Arial" w:eastAsia="Times New Roman" w:hAnsi="Arial" w:cs="Arial"/>
          <w:color w:val="333333"/>
          <w:kern w:val="36"/>
          <w:sz w:val="24"/>
          <w:szCs w:val="24"/>
        </w:rPr>
      </w:pPr>
      <w:proofErr w:type="spellStart"/>
      <w:r w:rsidRPr="003333C1">
        <w:rPr>
          <w:rFonts w:ascii="Arial" w:eastAsia="Times New Roman" w:hAnsi="Arial" w:cs="Arial"/>
          <w:color w:val="333333"/>
          <w:kern w:val="36"/>
          <w:sz w:val="24"/>
          <w:szCs w:val="24"/>
        </w:rPr>
        <w:t>eJäsenkirje</w:t>
      </w:r>
      <w:proofErr w:type="spellEnd"/>
      <w:r w:rsidRPr="003333C1">
        <w:rPr>
          <w:rFonts w:ascii="Arial" w:eastAsia="Times New Roman" w:hAnsi="Arial" w:cs="Arial"/>
          <w:color w:val="333333"/>
          <w:kern w:val="36"/>
          <w:sz w:val="24"/>
          <w:szCs w:val="24"/>
        </w:rPr>
        <w:t xml:space="preserve"> 27.10.2014</w:t>
      </w:r>
    </w:p>
    <w:p w:rsidR="003333C1" w:rsidRDefault="003333C1" w:rsidP="003333C1">
      <w:pPr>
        <w:spacing w:after="168" w:line="240" w:lineRule="atLeast"/>
        <w:outlineLvl w:val="1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</w:p>
    <w:p w:rsidR="003333C1" w:rsidRPr="008C2972" w:rsidRDefault="003333C1" w:rsidP="003333C1">
      <w:pPr>
        <w:spacing w:after="168" w:line="240" w:lineRule="atLeast"/>
        <w:outlineLvl w:val="1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r w:rsidRPr="008C2972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Liikenneverkosto kuntoon ilman uutta velkaa</w:t>
      </w:r>
    </w:p>
    <w:p w:rsidR="003333C1" w:rsidRPr="008C2972" w:rsidRDefault="003333C1" w:rsidP="003333C1">
      <w:pPr>
        <w:spacing w:after="240" w:line="34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Tavaran on kuljettava Suomen liikenneverkostossa tehtaista satamiin 70 km/h keskinopeudella vuoden jokaisena päivä</w:t>
      </w:r>
      <w:bookmarkStart w:id="0" w:name="_GoBack"/>
      <w:bookmarkEnd w:id="0"/>
      <w:r w:rsidRPr="008C2972">
        <w:rPr>
          <w:rFonts w:ascii="Arial" w:eastAsia="Times New Roman" w:hAnsi="Arial" w:cs="Arial"/>
          <w:color w:val="333333"/>
          <w:sz w:val="24"/>
          <w:szCs w:val="24"/>
        </w:rPr>
        <w:t>nä. Tarvittavat investoinnit on mahdollista rahoittaa ottamalla käyttöön valtion omistamien infrayhtiöiden ylisuureet taseet.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 xml:space="preserve">Kauppakamarien julkaisemissa liikennelinjauksissa painotetaan, että infrastruktuurille on määriteltävä selkeät palvelukriteerit. Keskeistä palvelukriteereissä on, miten tuotteet saadaan turvallisesti ja kustannustehokkaasti satamiin ja ilman väylämaksuja maailmalle. 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>Tehokas kuljetusjärjestelmä edellyttää 70 km/h keskinopeutta tuotannosta satamaan ja rautateiden osalta lisäksi 25 tonnin akselipainoa. Tavoitteen saavuttaminen vaatii tieinfralta 100 km/h nopeustasoa sekä riittävää kapasiteettia ja kuntoa vuoden jokaisena päivänä.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 xml:space="preserve">“Nopeustasoa voidaan nostaa rakentamalla sujuvia liittymiä ja riittävästi ohituskaistoja. Liikenteen sujuvuuden parantaminen ei useimmissa tapauksissa vaadi jätti-investointeja”, toteaa Keskuskauppakamarin liikenneasioista vastaava johtaja </w:t>
      </w:r>
      <w:r w:rsidRPr="008C2972">
        <w:rPr>
          <w:rFonts w:ascii="Arial" w:eastAsia="Times New Roman" w:hAnsi="Arial" w:cs="Arial"/>
          <w:b/>
          <w:bCs/>
          <w:color w:val="000000"/>
          <w:sz w:val="24"/>
          <w:szCs w:val="24"/>
        </w:rPr>
        <w:t>Samuli Haapasalo</w:t>
      </w:r>
      <w:r w:rsidRPr="008C297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 xml:space="preserve">Valtio voi rahoittaa tarvittavat investoinnit ottamalla käyttöön omistamiensa infrayhtiöiden ylisuuret taseet. Näin saatavaa rahoitusta on lyhyellä aikavälillä yli miljardi euroa. 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 xml:space="preserve">“VR:n omavaraisuusaste on tällä hetkellä yli 80 prosenttia. Yhtiön taseesta olisi mahdollista irrottaa puoli miljardia euroa vähentämällä omavaraisuusasteen 50 prosenttiin. VR:n tase jäisi edelleen huomattavan vahvaksi verrattuna suomalaisiin logistiikkayrityksiin tai Ruotsin </w:t>
      </w:r>
      <w:proofErr w:type="spellStart"/>
      <w:r w:rsidRPr="008C2972">
        <w:rPr>
          <w:rFonts w:ascii="Arial" w:eastAsia="Times New Roman" w:hAnsi="Arial" w:cs="Arial"/>
          <w:color w:val="000000"/>
          <w:sz w:val="24"/>
          <w:szCs w:val="24"/>
        </w:rPr>
        <w:t>SJ:hin</w:t>
      </w:r>
      <w:proofErr w:type="spellEnd"/>
      <w:r w:rsidRPr="008C2972">
        <w:rPr>
          <w:rFonts w:ascii="Arial" w:eastAsia="Times New Roman" w:hAnsi="Arial" w:cs="Arial"/>
          <w:color w:val="000000"/>
          <w:sz w:val="24"/>
          <w:szCs w:val="24"/>
        </w:rPr>
        <w:t>. Rahoitusta kaipaa paitsi tieverkko myös radanpito, mikä osaltaan motivoi ratkaisua.”</w:t>
      </w:r>
    </w:p>
    <w:p w:rsidR="003333C1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b/>
          <w:bCs/>
          <w:color w:val="000000"/>
          <w:sz w:val="24"/>
          <w:szCs w:val="24"/>
        </w:rPr>
        <w:t>Suorat lentoyhteydet Helsinki-Vantaalta varmistettava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 xml:space="preserve">Haapasalo painottaa, että kaikilta Suomen talousalueilta tulee olla hyvin toimivat lentoyhteydet kansainvälisille markkinoille. Helsinki-Vantaan lentokentän merkitys on tässä suhteessa suuri. Sen tarjoamat suorat kansainväliset yhteydet ovat yritysten kannalta keskeisiä. 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 xml:space="preserve">“Helsinki-Vantaan erinomaiset yhteydet mahdollistavat sen, että kaikkialta Suomesta on pääsy esimerkiksi Aasian markkinoille kymmenessä tunnissa, ja </w:t>
      </w:r>
      <w:proofErr w:type="spellStart"/>
      <w:r w:rsidRPr="008C2972">
        <w:rPr>
          <w:rFonts w:ascii="Arial" w:eastAsia="Times New Roman" w:hAnsi="Arial" w:cs="Arial"/>
          <w:color w:val="000000"/>
          <w:sz w:val="24"/>
          <w:szCs w:val="24"/>
        </w:rPr>
        <w:t>samanaamuiset</w:t>
      </w:r>
      <w:proofErr w:type="spellEnd"/>
      <w:r w:rsidRPr="008C2972">
        <w:rPr>
          <w:rFonts w:ascii="Arial" w:eastAsia="Times New Roman" w:hAnsi="Arial" w:cs="Arial"/>
          <w:color w:val="000000"/>
          <w:sz w:val="24"/>
          <w:szCs w:val="24"/>
        </w:rPr>
        <w:t xml:space="preserve"> yhteydet kaikille Euroopan talousalueille. Näiden yhteyksien väheneminen heikentäisi suomalaisten yritysten kilpailukykyä merkittävästi”, sanoo Haapasalo.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 xml:space="preserve">Haapasalo muistuttaa, että Helsinki-Vantaan lentoaseman kansainvälisen </w:t>
      </w:r>
      <w:proofErr w:type="spellStart"/>
      <w:r w:rsidRPr="008C2972">
        <w:rPr>
          <w:rFonts w:ascii="Arial" w:eastAsia="Times New Roman" w:hAnsi="Arial" w:cs="Arial"/>
          <w:color w:val="000000"/>
          <w:sz w:val="24"/>
          <w:szCs w:val="24"/>
        </w:rPr>
        <w:t>hub</w:t>
      </w:r>
      <w:proofErr w:type="spellEnd"/>
      <w:r w:rsidRPr="008C2972">
        <w:rPr>
          <w:rFonts w:ascii="Arial" w:eastAsia="Times New Roman" w:hAnsi="Arial" w:cs="Arial"/>
          <w:color w:val="000000"/>
          <w:sz w:val="24"/>
          <w:szCs w:val="24"/>
        </w:rPr>
        <w:t>-aseman vahvistaminen ei ole ristiriidassa muiden keskeisten suomalaisten lentokenttien kehittämisen kanssa. Myös muiden lentokenttien tulee palvella kansainvälisiä yhteyksiä Open Skies -periaatteella.</w:t>
      </w:r>
    </w:p>
    <w:p w:rsidR="003333C1" w:rsidRPr="008C2972" w:rsidRDefault="003333C1" w:rsidP="003333C1">
      <w:pPr>
        <w:spacing w:after="200" w:line="34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b/>
          <w:bCs/>
          <w:color w:val="000000"/>
          <w:sz w:val="24"/>
          <w:szCs w:val="24"/>
        </w:rPr>
        <w:t>Liikenteen älyratkaisut edellyttävät riittävää verkkokapasiteettia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lastRenderedPageBreak/>
        <w:t>Samuli Haapasalon mukaan on varmistettava, että hyvin toimivat pääväylät yhdistävät koko Suomen. Väylästön tulee tukea ja palvella ihmisten sujuvaa, turvallista ja joustavaa liikkumista, erityisesti työmatkaliikkumista.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>“Esimerkiksi länsirannikon talousalueita yhdistävä väylä ja Itä-Suomen vastaavalla tavalla yhdistävä väylä on parannettava esitettyjen infrakriteerien mukaisiksi”, sanoo Haapasalo.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333C1" w:rsidRPr="008C2972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8C2972">
        <w:rPr>
          <w:rFonts w:ascii="Arial" w:eastAsia="Times New Roman" w:hAnsi="Arial" w:cs="Arial"/>
          <w:color w:val="000000"/>
          <w:sz w:val="24"/>
          <w:szCs w:val="24"/>
        </w:rPr>
        <w:t>Pääväylien on myös oltava 4G-verkon piirissä, mikä mahdollistaisi älyliikenteen kehittämisen. Katkeamaton laajakaistakapasiteetti pääväylien varrella on edellytys raskaan liikenteen digitaalisille ratkaisuille.</w:t>
      </w:r>
    </w:p>
    <w:p w:rsidR="003333C1" w:rsidRDefault="003333C1" w:rsidP="003333C1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C55DFB" w:rsidRDefault="00C55DFB"/>
    <w:sectPr w:rsidR="00C55D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C1"/>
    <w:rsid w:val="003333C1"/>
    <w:rsid w:val="00C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5D31-5D9D-4D24-BCC5-E7C78357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33C1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2014-10-27T07:54:00Z</dcterms:created>
  <dcterms:modified xsi:type="dcterms:W3CDTF">2014-10-27T07:55:00Z</dcterms:modified>
</cp:coreProperties>
</file>